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C3AAF">
      <w:pPr>
        <w:pStyle w:val="5"/>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b/>
          <w:color w:val="auto"/>
          <w:sz w:val="44"/>
          <w:highlight w:val="none"/>
        </w:rPr>
        <w:t xml:space="preserve"> 采购需求</w:t>
      </w:r>
    </w:p>
    <w:p w14:paraId="0B44D09C">
      <w:pPr>
        <w:spacing w:before="120" w:after="120" w:line="0" w:lineRule="atLeas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项目属性：</w:t>
      </w:r>
      <w:r>
        <w:rPr>
          <w:rFonts w:hint="eastAsia" w:ascii="仿宋" w:hAnsi="仿宋" w:eastAsia="仿宋" w:cs="仿宋"/>
          <w:b/>
          <w:bCs/>
          <w:color w:val="auto"/>
          <w:sz w:val="24"/>
          <w:szCs w:val="24"/>
          <w:highlight w:val="none"/>
          <w:u w:val="single"/>
        </w:rPr>
        <w:t>货物类项目</w:t>
      </w:r>
    </w:p>
    <w:p w14:paraId="5A11C57C">
      <w:pPr>
        <w:spacing w:before="120" w:after="120" w:line="0" w:lineRule="atLeast"/>
        <w:rPr>
          <w:rFonts w:hint="eastAsia" w:ascii="仿宋" w:hAnsi="仿宋" w:eastAsia="仿宋" w:cs="仿宋"/>
          <w:b/>
          <w:bCs/>
          <w:color w:val="auto"/>
          <w:sz w:val="24"/>
          <w:szCs w:val="24"/>
          <w:highlight w:val="none"/>
          <w:u w:val="single"/>
          <w:lang w:eastAsia="zh-CN"/>
        </w:rPr>
      </w:pPr>
      <w:r>
        <w:rPr>
          <w:rFonts w:hint="eastAsia" w:ascii="仿宋" w:hAnsi="仿宋" w:eastAsia="仿宋" w:cs="仿宋"/>
          <w:b/>
          <w:bCs/>
          <w:color w:val="auto"/>
          <w:sz w:val="24"/>
          <w:szCs w:val="24"/>
          <w:highlight w:val="none"/>
        </w:rPr>
        <w:t>本项目采购标的对应的中小企业划分标准所属行业：</w:t>
      </w:r>
      <w:r>
        <w:rPr>
          <w:rFonts w:hint="eastAsia" w:ascii="仿宋" w:hAnsi="仿宋" w:eastAsia="仿宋" w:cs="仿宋"/>
          <w:b/>
          <w:bCs/>
          <w:color w:val="auto"/>
          <w:sz w:val="24"/>
          <w:szCs w:val="24"/>
          <w:highlight w:val="none"/>
          <w:u w:val="single"/>
        </w:rPr>
        <w:t>工业</w:t>
      </w: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制造业</w:t>
      </w:r>
      <w:r>
        <w:rPr>
          <w:rFonts w:hint="eastAsia" w:ascii="仿宋" w:hAnsi="仿宋" w:eastAsia="仿宋" w:cs="仿宋"/>
          <w:b/>
          <w:bCs/>
          <w:color w:val="auto"/>
          <w:sz w:val="24"/>
          <w:szCs w:val="24"/>
          <w:highlight w:val="none"/>
          <w:u w:val="single"/>
          <w:lang w:eastAsia="zh-CN"/>
        </w:rPr>
        <w:t>）</w:t>
      </w:r>
    </w:p>
    <w:p w14:paraId="12B294D0">
      <w:pPr>
        <w:spacing w:before="120" w:after="120" w:line="0" w:lineRule="atLeast"/>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本项目</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lang w:val="en-US" w:eastAsia="zh-CN"/>
        </w:rPr>
        <w:t>不</w:t>
      </w:r>
      <w:r>
        <w:rPr>
          <w:rFonts w:hint="eastAsia" w:ascii="仿宋" w:hAnsi="仿宋" w:eastAsia="仿宋" w:cs="仿宋"/>
          <w:b/>
          <w:bCs/>
          <w:color w:val="auto"/>
          <w:sz w:val="24"/>
          <w:szCs w:val="24"/>
          <w:highlight w:val="none"/>
          <w:u w:val="single"/>
        </w:rPr>
        <w:t xml:space="preserve">接受 </w:t>
      </w:r>
      <w:r>
        <w:rPr>
          <w:rFonts w:hint="eastAsia" w:ascii="仿宋" w:hAnsi="仿宋" w:eastAsia="仿宋" w:cs="仿宋"/>
          <w:b/>
          <w:bCs/>
          <w:color w:val="auto"/>
          <w:sz w:val="24"/>
          <w:szCs w:val="24"/>
          <w:highlight w:val="none"/>
        </w:rPr>
        <w:t>进口产品。</w:t>
      </w:r>
    </w:p>
    <w:p w14:paraId="15E16AAF">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一、项目概况</w:t>
      </w:r>
    </w:p>
    <w:p w14:paraId="2EF10AC9">
      <w:pPr>
        <w:pStyle w:val="6"/>
        <w:spacing w:line="360" w:lineRule="auto"/>
        <w:ind w:firstLine="482"/>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（一）项目名称</w:t>
      </w:r>
      <w:r>
        <w:rPr>
          <w:rFonts w:hint="eastAsia" w:ascii="仿宋" w:hAnsi="仿宋" w:eastAsia="仿宋" w:cs="仿宋"/>
          <w:color w:val="auto"/>
          <w:sz w:val="24"/>
          <w:highlight w:val="none"/>
        </w:rPr>
        <w:t>：大考山公墓2025年度墓穴石材及配套设施采购项目</w:t>
      </w:r>
    </w:p>
    <w:p w14:paraId="7E05D054">
      <w:pPr>
        <w:pStyle w:val="6"/>
        <w:spacing w:line="360" w:lineRule="auto"/>
        <w:ind w:firstLine="482"/>
        <w:jc w:val="left"/>
        <w:rPr>
          <w:rFonts w:hint="default"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rPr>
        <w:t>（二）预算金额</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 xml:space="preserve"> </w:t>
      </w:r>
      <w:r>
        <w:rPr>
          <w:rFonts w:hint="eastAsia" w:ascii="仿宋" w:hAnsi="仿宋" w:eastAsia="仿宋" w:cs="仿宋"/>
          <w:color w:val="auto"/>
          <w:sz w:val="24"/>
          <w:szCs w:val="24"/>
          <w:highlight w:val="none"/>
          <w:lang w:val="en-US" w:eastAsia="zh-CN"/>
        </w:rPr>
        <w:t>26</w:t>
      </w:r>
      <w:bookmarkStart w:id="0" w:name="_GoBack"/>
      <w:bookmarkEnd w:id="0"/>
      <w:r>
        <w:rPr>
          <w:rFonts w:hint="eastAsia" w:ascii="仿宋" w:hAnsi="仿宋" w:eastAsia="仿宋" w:cs="仿宋"/>
          <w:color w:val="auto"/>
          <w:sz w:val="24"/>
          <w:szCs w:val="24"/>
          <w:highlight w:val="none"/>
          <w:lang w:val="en-US" w:eastAsia="zh-CN"/>
        </w:rPr>
        <w:t>76697.66</w:t>
      </w:r>
      <w:r>
        <w:rPr>
          <w:rFonts w:hint="eastAsia" w:ascii="仿宋" w:hAnsi="仿宋" w:eastAsia="仿宋" w:cs="仿宋"/>
          <w:b w:val="0"/>
          <w:bCs w:val="0"/>
          <w:color w:val="auto"/>
          <w:sz w:val="24"/>
          <w:highlight w:val="none"/>
          <w:lang w:val="en-US" w:eastAsia="zh-CN"/>
        </w:rPr>
        <w:t>元</w:t>
      </w:r>
    </w:p>
    <w:p w14:paraId="3EE5AB1B">
      <w:pPr>
        <w:pStyle w:val="7"/>
        <w:spacing w:line="360" w:lineRule="auto"/>
        <w:ind w:firstLine="48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（三）采购内容：</w:t>
      </w:r>
      <w:r>
        <w:rPr>
          <w:rFonts w:hint="eastAsia" w:ascii="仿宋" w:hAnsi="仿宋" w:eastAsia="仿宋" w:cs="仿宋"/>
          <w:color w:val="auto"/>
          <w:sz w:val="24"/>
          <w:szCs w:val="24"/>
          <w:lang w:val="en-US" w:eastAsia="zh-CN" w:bidi="ar-SA"/>
        </w:rPr>
        <w:t>泗洪县大考山公墓管理处拟采购墓穴石材一批，主要包括：采购艺术墓墓穴约481穴，墓区道路约1100㎡等及其附属配套石材采购、景观绿化植物等。此项目含墓材安装、墓穴基础、绿化设计种植养护等。</w:t>
      </w:r>
    </w:p>
    <w:p w14:paraId="697D4166">
      <w:pPr>
        <w:pStyle w:val="7"/>
        <w:spacing w:line="360" w:lineRule="auto"/>
        <w:ind w:firstLine="482"/>
        <w:rPr>
          <w:rFonts w:hint="eastAsia" w:eastAsia="仿宋"/>
          <w:color w:val="auto"/>
          <w:lang w:eastAsia="zh-CN"/>
        </w:rPr>
      </w:pPr>
      <w:r>
        <w:rPr>
          <w:rFonts w:hint="eastAsia" w:ascii="仿宋" w:hAnsi="仿宋" w:eastAsia="仿宋" w:cs="仿宋"/>
          <w:b/>
          <w:bCs/>
          <w:color w:val="auto"/>
          <w:sz w:val="24"/>
          <w:szCs w:val="24"/>
          <w:highlight w:val="none"/>
          <w:lang w:val="en-US" w:eastAsia="zh-CN" w:bidi="ar-SA"/>
        </w:rPr>
        <w:t>（四）供货地点：</w:t>
      </w:r>
      <w:r>
        <w:rPr>
          <w:rFonts w:hint="eastAsia" w:ascii="仿宋" w:hAnsi="仿宋" w:eastAsia="仿宋" w:cs="仿宋"/>
          <w:color w:val="auto"/>
          <w:sz w:val="24"/>
          <w:szCs w:val="24"/>
        </w:rPr>
        <w:t>泗洪县</w:t>
      </w:r>
      <w:r>
        <w:rPr>
          <w:rFonts w:hint="eastAsia" w:ascii="仿宋" w:hAnsi="仿宋" w:eastAsia="仿宋" w:cs="仿宋"/>
          <w:color w:val="auto"/>
          <w:sz w:val="24"/>
          <w:szCs w:val="24"/>
          <w:lang w:val="en-US" w:eastAsia="zh-CN"/>
        </w:rPr>
        <w:t>大考山</w:t>
      </w:r>
      <w:r>
        <w:rPr>
          <w:rFonts w:hint="eastAsia" w:ascii="仿宋" w:hAnsi="仿宋" w:eastAsia="仿宋" w:cs="仿宋"/>
          <w:color w:val="auto"/>
          <w:sz w:val="24"/>
          <w:szCs w:val="24"/>
        </w:rPr>
        <w:t>。</w:t>
      </w:r>
    </w:p>
    <w:p w14:paraId="10AC48A7">
      <w:pPr>
        <w:pStyle w:val="8"/>
        <w:shd w:val="clear" w:color="auto"/>
        <w:spacing w:line="360" w:lineRule="auto"/>
        <w:ind w:right="105" w:firstLine="482"/>
        <w:jc w:val="left"/>
        <w:rPr>
          <w:rFonts w:hint="eastAsia" w:ascii="仿宋" w:hAnsi="仿宋" w:eastAsia="仿宋" w:cs="仿宋"/>
          <w:color w:val="auto"/>
          <w:sz w:val="24"/>
          <w:szCs w:val="24"/>
          <w:lang w:val="en-US" w:eastAsia="zh-CN" w:bidi="ar-SA"/>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五</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合同履行期限：</w:t>
      </w:r>
      <w:r>
        <w:rPr>
          <w:rFonts w:hint="eastAsia" w:ascii="仿宋" w:hAnsi="仿宋" w:eastAsia="仿宋" w:cs="仿宋"/>
          <w:color w:val="auto"/>
          <w:sz w:val="24"/>
          <w:szCs w:val="24"/>
          <w:lang w:val="en-US" w:eastAsia="zh-CN" w:bidi="ar-SA"/>
        </w:rPr>
        <w:t>采购合同签订后 90日内供货安装调试完毕并交付使用。</w:t>
      </w:r>
    </w:p>
    <w:p w14:paraId="796A13CF">
      <w:pPr>
        <w:pStyle w:val="8"/>
        <w:shd w:val="clear" w:color="auto"/>
        <w:spacing w:line="360" w:lineRule="auto"/>
        <w:ind w:right="105" w:firstLine="482"/>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w:t>
      </w:r>
      <w:r>
        <w:rPr>
          <w:rFonts w:hint="eastAsia" w:ascii="仿宋" w:hAnsi="仿宋" w:eastAsia="仿宋" w:cs="仿宋"/>
          <w:b/>
          <w:bCs/>
          <w:color w:val="auto"/>
          <w:sz w:val="24"/>
          <w:szCs w:val="24"/>
          <w:highlight w:val="none"/>
        </w:rPr>
        <w:t>售后服务期：</w:t>
      </w:r>
      <w:r>
        <w:rPr>
          <w:rFonts w:hint="eastAsia" w:ascii="仿宋" w:hAnsi="仿宋" w:eastAsia="仿宋" w:cs="仿宋"/>
          <w:b w:val="0"/>
          <w:bCs w:val="0"/>
          <w:color w:val="auto"/>
          <w:sz w:val="24"/>
          <w:szCs w:val="24"/>
          <w:highlight w:val="none"/>
          <w:lang w:val="en-US" w:eastAsia="zh-CN"/>
        </w:rPr>
        <w:t>2年。</w:t>
      </w:r>
    </w:p>
    <w:p w14:paraId="7748BDCD">
      <w:pPr>
        <w:pStyle w:val="8"/>
        <w:shd w:val="clear" w:color="auto"/>
        <w:spacing w:line="360" w:lineRule="auto"/>
        <w:ind w:right="105" w:firstLine="482"/>
        <w:jc w:val="left"/>
        <w:rPr>
          <w:rStyle w:val="4"/>
          <w:rFonts w:hint="default" w:ascii="仿宋" w:hAnsi="仿宋" w:eastAsia="仿宋" w:cs="仿宋"/>
          <w:color w:val="auto"/>
          <w:sz w:val="24"/>
          <w:szCs w:val="24"/>
          <w:lang w:val="en-US" w:eastAsia="zh-CN"/>
        </w:rPr>
      </w:pPr>
      <w:r>
        <w:rPr>
          <w:rFonts w:hint="eastAsia" w:ascii="仿宋" w:hAnsi="仿宋" w:eastAsia="仿宋" w:cs="仿宋"/>
          <w:b/>
          <w:bCs/>
          <w:color w:val="auto"/>
          <w:sz w:val="24"/>
          <w:highlight w:val="none"/>
          <w:lang w:val="en-US" w:eastAsia="zh-CN"/>
        </w:rPr>
        <w:t>（七）</w:t>
      </w:r>
      <w:r>
        <w:rPr>
          <w:rFonts w:hint="default" w:ascii="仿宋" w:hAnsi="仿宋" w:eastAsia="仿宋" w:cs="仿宋"/>
          <w:b/>
          <w:bCs/>
          <w:color w:val="auto"/>
          <w:sz w:val="24"/>
          <w:highlight w:val="none"/>
          <w:lang w:val="en-US" w:eastAsia="zh-CN"/>
        </w:rPr>
        <w:t>质量要求</w:t>
      </w:r>
      <w:r>
        <w:rPr>
          <w:rStyle w:val="4"/>
          <w:rFonts w:hint="default" w:ascii="仿宋" w:hAnsi="仿宋" w:eastAsia="仿宋" w:cs="仿宋"/>
          <w:color w:val="auto"/>
          <w:sz w:val="24"/>
          <w:szCs w:val="24"/>
          <w:lang w:val="en-US" w:eastAsia="zh-CN"/>
        </w:rPr>
        <w:t>：合格，符合国家、行业质量要求。</w:t>
      </w:r>
    </w:p>
    <w:p w14:paraId="3419603F">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资金支付的方式</w:t>
      </w:r>
    </w:p>
    <w:p w14:paraId="3D74ECB8">
      <w:pPr>
        <w:pStyle w:val="9"/>
        <w:spacing w:line="48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预付款</w:t>
      </w:r>
      <w:r>
        <w:rPr>
          <w:rFonts w:hint="eastAsia" w:ascii="仿宋" w:hAnsi="仿宋" w:eastAsia="仿宋" w:cs="仿宋"/>
          <w:color w:val="auto"/>
          <w:sz w:val="24"/>
          <w:highlight w:val="none"/>
          <w:lang w:eastAsia="zh-CN"/>
        </w:rPr>
        <w:t>：签订合同后，自收到发票后10个工作日内采购人支付合同总价款的30%</w:t>
      </w:r>
      <w:r>
        <w:rPr>
          <w:rFonts w:hint="eastAsia" w:ascii="仿宋" w:hAnsi="仿宋" w:eastAsia="仿宋" w:cs="仿宋"/>
          <w:color w:val="auto"/>
          <w:sz w:val="24"/>
          <w:highlight w:val="none"/>
        </w:rPr>
        <w:t>；</w:t>
      </w:r>
    </w:p>
    <w:p w14:paraId="0893E676">
      <w:pPr>
        <w:pStyle w:val="9"/>
        <w:spacing w:line="48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进度款：</w:t>
      </w:r>
      <w:r>
        <w:rPr>
          <w:rFonts w:hint="eastAsia" w:ascii="仿宋" w:hAnsi="仿宋" w:eastAsia="仿宋" w:cs="仿宋"/>
          <w:color w:val="auto"/>
          <w:sz w:val="24"/>
          <w:highlight w:val="none"/>
          <w:lang w:val="en-US" w:eastAsia="zh-CN"/>
        </w:rPr>
        <w:t>项目供货安装完成，供应商提供项目完整技术文档，采购人3个工作日内组织验收并出具验收报告，验收完成收到供应商发票10个工作日内，支付至合同总额的100%。</w:t>
      </w:r>
    </w:p>
    <w:p w14:paraId="58A1E3F1">
      <w:pPr>
        <w:pStyle w:val="9"/>
        <w:spacing w:line="480" w:lineRule="exact"/>
        <w:ind w:firstLine="48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p w14:paraId="3F7E04A8">
      <w:pPr>
        <w:pStyle w:val="9"/>
        <w:spacing w:line="48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（1）可以采用数字人民币支付。</w:t>
      </w:r>
    </w:p>
    <w:p w14:paraId="2E18C268">
      <w:pPr>
        <w:pStyle w:val="9"/>
        <w:spacing w:line="48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（2）资金支付的时间：收到供应商发票10个工作日内。</w:t>
      </w:r>
    </w:p>
    <w:p w14:paraId="231DE345">
      <w:pPr>
        <w:pStyle w:val="9"/>
        <w:spacing w:line="48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（3）资金支付的条件：满足相应阶段的要求且收到供应商发票。</w:t>
      </w:r>
    </w:p>
    <w:p w14:paraId="67BC9DFF">
      <w:pPr>
        <w:pStyle w:val="9"/>
        <w:spacing w:line="48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（4）当采购数量与实际使用数量不一致时，供应商应根据实际使用量供货，合同的最终结算金额按实际使用量乘以成交单价进行计算；</w:t>
      </w:r>
    </w:p>
    <w:p w14:paraId="4664D9AE">
      <w:pPr>
        <w:pStyle w:val="9"/>
        <w:spacing w:line="48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（5）在签订合同时，供应商明确表示无需预付款或者主动要求降低预付款比例的，采购人可不适用前述规定。</w:t>
      </w:r>
    </w:p>
    <w:p w14:paraId="585E6F32">
      <w:pPr>
        <w:keepNext w:val="0"/>
        <w:keepLines w:val="0"/>
        <w:pageBreakBefore w:val="0"/>
        <w:widowControl w:val="0"/>
        <w:spacing w:line="520" w:lineRule="exact"/>
        <w:rPr>
          <w:rFonts w:hint="eastAsia" w:ascii="仿宋" w:hAnsi="仿宋" w:eastAsia="仿宋" w:cs="仿宋"/>
          <w:bCs/>
          <w:iCs/>
          <w:color w:val="auto"/>
          <w:sz w:val="24"/>
          <w:szCs w:val="24"/>
          <w:highlight w:val="none"/>
        </w:rPr>
      </w:pPr>
      <w:r>
        <w:rPr>
          <w:rFonts w:hint="eastAsia" w:ascii="仿宋" w:hAnsi="仿宋" w:eastAsia="仿宋" w:cs="仿宋"/>
          <w:b/>
          <w:color w:val="auto"/>
          <w:sz w:val="30"/>
          <w:szCs w:val="30"/>
          <w:highlight w:val="none"/>
          <w:lang w:val="en-US" w:eastAsia="zh-CN"/>
        </w:rPr>
        <w:t>三、采购清单及技术参数要求</w:t>
      </w:r>
    </w:p>
    <w:p w14:paraId="55E139C6">
      <w:pPr>
        <w:pStyle w:val="11"/>
        <w:keepNext w:val="0"/>
        <w:keepLines w:val="0"/>
        <w:pageBreakBefore w:val="0"/>
        <w:widowControl w:val="0"/>
        <w:shd w:val="clear" w:color="auto"/>
        <w:kinsoku/>
        <w:wordWrap/>
        <w:overflowPunct/>
        <w:topLinePunct w:val="0"/>
        <w:autoSpaceDE/>
        <w:autoSpaceDN/>
        <w:bidi w:val="0"/>
        <w:adjustRightInd/>
        <w:snapToGrid/>
        <w:spacing w:line="30" w:lineRule="atLeast"/>
        <w:ind w:firstLine="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（一）采购清单</w:t>
      </w:r>
    </w:p>
    <w:tbl>
      <w:tblPr>
        <w:tblStyle w:val="3"/>
        <w:tblpPr w:leftFromText="180" w:rightFromText="180" w:vertAnchor="text" w:horzAnchor="page" w:tblpX="420" w:tblpY="682"/>
        <w:tblW w:w="65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644"/>
        <w:gridCol w:w="6836"/>
        <w:gridCol w:w="988"/>
        <w:gridCol w:w="725"/>
      </w:tblGrid>
      <w:tr w14:paraId="291B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099065F0">
            <w:pPr>
              <w:pStyle w:val="12"/>
              <w:keepNext w:val="0"/>
              <w:keepLines w:val="0"/>
              <w:pageBreakBefore w:val="0"/>
              <w:widowControl w:val="0"/>
              <w:kinsoku/>
              <w:wordWrap/>
              <w:overflowPunct/>
              <w:topLinePunct w:val="0"/>
              <w:autoSpaceDE/>
              <w:autoSpaceDN/>
              <w:bidi w:val="0"/>
              <w:adjustRightInd/>
              <w:snapToGrid/>
              <w:spacing w:before="182" w:after="0" w:line="30" w:lineRule="atLeast"/>
              <w:ind w:firstLine="0"/>
              <w:jc w:val="center"/>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序号</w:t>
            </w:r>
          </w:p>
        </w:tc>
        <w:tc>
          <w:tcPr>
            <w:tcW w:w="737" w:type="pct"/>
            <w:noWrap w:val="0"/>
            <w:vAlign w:val="center"/>
          </w:tcPr>
          <w:p w14:paraId="4476B245">
            <w:pPr>
              <w:pStyle w:val="12"/>
              <w:keepNext w:val="0"/>
              <w:keepLines w:val="0"/>
              <w:pageBreakBefore w:val="0"/>
              <w:widowControl w:val="0"/>
              <w:kinsoku/>
              <w:wordWrap/>
              <w:overflowPunct/>
              <w:topLinePunct w:val="0"/>
              <w:autoSpaceDE/>
              <w:autoSpaceDN/>
              <w:bidi w:val="0"/>
              <w:adjustRightInd/>
              <w:snapToGrid/>
              <w:spacing w:before="182" w:after="0" w:line="30" w:lineRule="atLeast"/>
              <w:ind w:firstLine="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货物名称</w:t>
            </w:r>
          </w:p>
        </w:tc>
        <w:tc>
          <w:tcPr>
            <w:tcW w:w="3065" w:type="pct"/>
            <w:noWrap w:val="0"/>
            <w:vAlign w:val="center"/>
          </w:tcPr>
          <w:p w14:paraId="2320777D">
            <w:pPr>
              <w:pStyle w:val="12"/>
              <w:keepNext w:val="0"/>
              <w:keepLines w:val="0"/>
              <w:pageBreakBefore w:val="0"/>
              <w:widowControl w:val="0"/>
              <w:kinsoku/>
              <w:wordWrap/>
              <w:overflowPunct/>
              <w:topLinePunct w:val="0"/>
              <w:autoSpaceDE/>
              <w:autoSpaceDN/>
              <w:bidi w:val="0"/>
              <w:adjustRightInd/>
              <w:snapToGrid/>
              <w:spacing w:before="182" w:after="0" w:line="30" w:lineRule="atLeast"/>
              <w:ind w:firstLine="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技术参数</w:t>
            </w:r>
          </w:p>
        </w:tc>
        <w:tc>
          <w:tcPr>
            <w:tcW w:w="443" w:type="pct"/>
            <w:noWrap w:val="0"/>
            <w:vAlign w:val="center"/>
          </w:tcPr>
          <w:p w14:paraId="3B6F87B6">
            <w:pPr>
              <w:pStyle w:val="12"/>
              <w:keepNext w:val="0"/>
              <w:keepLines w:val="0"/>
              <w:pageBreakBefore w:val="0"/>
              <w:widowControl w:val="0"/>
              <w:kinsoku/>
              <w:wordWrap/>
              <w:overflowPunct/>
              <w:topLinePunct w:val="0"/>
              <w:autoSpaceDE/>
              <w:autoSpaceDN/>
              <w:bidi w:val="0"/>
              <w:adjustRightInd/>
              <w:snapToGrid/>
              <w:spacing w:before="182" w:after="0" w:line="30" w:lineRule="atLeast"/>
              <w:ind w:firstLine="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单位</w:t>
            </w:r>
          </w:p>
        </w:tc>
        <w:tc>
          <w:tcPr>
            <w:tcW w:w="325" w:type="pct"/>
            <w:noWrap w:val="0"/>
            <w:vAlign w:val="center"/>
          </w:tcPr>
          <w:p w14:paraId="77DBCDE9">
            <w:pPr>
              <w:pStyle w:val="12"/>
              <w:keepNext w:val="0"/>
              <w:keepLines w:val="0"/>
              <w:pageBreakBefore w:val="0"/>
              <w:widowControl w:val="0"/>
              <w:kinsoku/>
              <w:wordWrap/>
              <w:overflowPunct/>
              <w:topLinePunct w:val="0"/>
              <w:autoSpaceDE/>
              <w:autoSpaceDN/>
              <w:bidi w:val="0"/>
              <w:adjustRightInd/>
              <w:snapToGrid/>
              <w:spacing w:before="182" w:after="0" w:line="30" w:lineRule="atLeast"/>
              <w:ind w:firstLine="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数量</w:t>
            </w:r>
          </w:p>
        </w:tc>
      </w:tr>
      <w:tr w14:paraId="772B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502969AD">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w:t>
            </w:r>
          </w:p>
        </w:tc>
        <w:tc>
          <w:tcPr>
            <w:tcW w:w="737" w:type="pct"/>
            <w:noWrap w:val="0"/>
            <w:vAlign w:val="center"/>
          </w:tcPr>
          <w:p w14:paraId="2EBC4F44">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艺术墓1</w:t>
            </w:r>
          </w:p>
        </w:tc>
        <w:tc>
          <w:tcPr>
            <w:tcW w:w="3065" w:type="pct"/>
            <w:noWrap w:val="0"/>
            <w:vAlign w:val="center"/>
          </w:tcPr>
          <w:p w14:paraId="196BB232">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详见图纸</w:t>
            </w:r>
          </w:p>
        </w:tc>
        <w:tc>
          <w:tcPr>
            <w:tcW w:w="443" w:type="pct"/>
            <w:noWrap w:val="0"/>
            <w:vAlign w:val="center"/>
          </w:tcPr>
          <w:p w14:paraId="4BB5E29A">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穴</w:t>
            </w:r>
          </w:p>
        </w:tc>
        <w:tc>
          <w:tcPr>
            <w:tcW w:w="325" w:type="pct"/>
            <w:noWrap w:val="0"/>
            <w:vAlign w:val="center"/>
          </w:tcPr>
          <w:p w14:paraId="60B25163">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45</w:t>
            </w:r>
          </w:p>
        </w:tc>
      </w:tr>
      <w:tr w14:paraId="26A0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0AD1B665">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w:t>
            </w:r>
          </w:p>
        </w:tc>
        <w:tc>
          <w:tcPr>
            <w:tcW w:w="737" w:type="pct"/>
            <w:noWrap w:val="0"/>
            <w:vAlign w:val="center"/>
          </w:tcPr>
          <w:p w14:paraId="32619108">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艺术墓2</w:t>
            </w:r>
          </w:p>
        </w:tc>
        <w:tc>
          <w:tcPr>
            <w:tcW w:w="3065" w:type="pct"/>
            <w:noWrap w:val="0"/>
            <w:vAlign w:val="center"/>
          </w:tcPr>
          <w:p w14:paraId="287842BC">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详见图纸</w:t>
            </w:r>
          </w:p>
        </w:tc>
        <w:tc>
          <w:tcPr>
            <w:tcW w:w="443" w:type="pct"/>
            <w:noWrap w:val="0"/>
            <w:vAlign w:val="center"/>
          </w:tcPr>
          <w:p w14:paraId="47AAA0BD">
            <w:pPr>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穴</w:t>
            </w:r>
          </w:p>
        </w:tc>
        <w:tc>
          <w:tcPr>
            <w:tcW w:w="325" w:type="pct"/>
            <w:noWrap w:val="0"/>
            <w:vAlign w:val="center"/>
          </w:tcPr>
          <w:p w14:paraId="43A22FFB">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40</w:t>
            </w:r>
          </w:p>
        </w:tc>
      </w:tr>
      <w:tr w14:paraId="38DD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11F08296">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w:t>
            </w:r>
          </w:p>
        </w:tc>
        <w:tc>
          <w:tcPr>
            <w:tcW w:w="737" w:type="pct"/>
            <w:noWrap w:val="0"/>
            <w:vAlign w:val="center"/>
          </w:tcPr>
          <w:p w14:paraId="25105680">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艺术墓3</w:t>
            </w:r>
          </w:p>
        </w:tc>
        <w:tc>
          <w:tcPr>
            <w:tcW w:w="3065" w:type="pct"/>
            <w:noWrap w:val="0"/>
            <w:vAlign w:val="center"/>
          </w:tcPr>
          <w:p w14:paraId="48ED85A1">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详见图纸</w:t>
            </w:r>
          </w:p>
        </w:tc>
        <w:tc>
          <w:tcPr>
            <w:tcW w:w="443" w:type="pct"/>
            <w:noWrap w:val="0"/>
            <w:vAlign w:val="center"/>
          </w:tcPr>
          <w:p w14:paraId="22370EB4">
            <w:pPr>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穴</w:t>
            </w:r>
          </w:p>
        </w:tc>
        <w:tc>
          <w:tcPr>
            <w:tcW w:w="325" w:type="pct"/>
            <w:noWrap w:val="0"/>
            <w:vAlign w:val="center"/>
          </w:tcPr>
          <w:p w14:paraId="4A4122E1">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96</w:t>
            </w:r>
          </w:p>
        </w:tc>
      </w:tr>
      <w:tr w14:paraId="0E0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DC46DB6">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w:t>
            </w:r>
          </w:p>
        </w:tc>
        <w:tc>
          <w:tcPr>
            <w:tcW w:w="737" w:type="pct"/>
            <w:noWrap w:val="0"/>
            <w:vAlign w:val="center"/>
          </w:tcPr>
          <w:p w14:paraId="26AB9667">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●艺术墓4</w:t>
            </w:r>
          </w:p>
        </w:tc>
        <w:tc>
          <w:tcPr>
            <w:tcW w:w="3065" w:type="pct"/>
            <w:noWrap w:val="0"/>
            <w:vAlign w:val="center"/>
          </w:tcPr>
          <w:p w14:paraId="47994B45">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详见图纸</w:t>
            </w:r>
          </w:p>
        </w:tc>
        <w:tc>
          <w:tcPr>
            <w:tcW w:w="443" w:type="pct"/>
            <w:noWrap w:val="0"/>
            <w:vAlign w:val="center"/>
          </w:tcPr>
          <w:p w14:paraId="437442EB">
            <w:pPr>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穴</w:t>
            </w:r>
          </w:p>
        </w:tc>
        <w:tc>
          <w:tcPr>
            <w:tcW w:w="325" w:type="pct"/>
            <w:noWrap w:val="0"/>
            <w:vAlign w:val="center"/>
          </w:tcPr>
          <w:p w14:paraId="5EE54C3D">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300</w:t>
            </w:r>
          </w:p>
        </w:tc>
      </w:tr>
      <w:tr w14:paraId="1AD2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6689B40">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w:t>
            </w:r>
          </w:p>
        </w:tc>
        <w:tc>
          <w:tcPr>
            <w:tcW w:w="737" w:type="pct"/>
            <w:noWrap w:val="0"/>
            <w:vAlign w:val="center"/>
          </w:tcPr>
          <w:p w14:paraId="1FD4639B">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水缸门海</w:t>
            </w:r>
          </w:p>
        </w:tc>
        <w:tc>
          <w:tcPr>
            <w:tcW w:w="3065" w:type="pct"/>
            <w:noWrap w:val="0"/>
            <w:vAlign w:val="center"/>
          </w:tcPr>
          <w:p w14:paraId="534F05A8">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高度65cm，直径90cm，厚度8cm</w:t>
            </w:r>
          </w:p>
        </w:tc>
        <w:tc>
          <w:tcPr>
            <w:tcW w:w="443" w:type="pct"/>
            <w:noWrap w:val="0"/>
            <w:vAlign w:val="center"/>
          </w:tcPr>
          <w:p w14:paraId="58F1BA94">
            <w:pPr>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个</w:t>
            </w:r>
          </w:p>
        </w:tc>
        <w:tc>
          <w:tcPr>
            <w:tcW w:w="325" w:type="pct"/>
            <w:noWrap w:val="0"/>
            <w:vAlign w:val="center"/>
          </w:tcPr>
          <w:p w14:paraId="08AE3343">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w:t>
            </w:r>
          </w:p>
        </w:tc>
      </w:tr>
      <w:tr w14:paraId="57B2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73619ED6">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6</w:t>
            </w:r>
          </w:p>
        </w:tc>
        <w:tc>
          <w:tcPr>
            <w:tcW w:w="737" w:type="pct"/>
            <w:noWrap w:val="0"/>
            <w:vAlign w:val="center"/>
          </w:tcPr>
          <w:p w14:paraId="6F308DCC">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基石前后板</w:t>
            </w:r>
          </w:p>
        </w:tc>
        <w:tc>
          <w:tcPr>
            <w:tcW w:w="3065" w:type="pct"/>
            <w:noWrap w:val="0"/>
            <w:vAlign w:val="center"/>
          </w:tcPr>
          <w:p w14:paraId="6325F115">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艺术墓1.2.3.4芝麻白基石前后板1000*80*200mm（一面光）</w:t>
            </w:r>
          </w:p>
        </w:tc>
        <w:tc>
          <w:tcPr>
            <w:tcW w:w="443" w:type="pct"/>
            <w:noWrap w:val="0"/>
            <w:vAlign w:val="center"/>
          </w:tcPr>
          <w:p w14:paraId="36284701">
            <w:pPr>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平方米</w:t>
            </w:r>
          </w:p>
        </w:tc>
        <w:tc>
          <w:tcPr>
            <w:tcW w:w="325" w:type="pct"/>
            <w:noWrap w:val="0"/>
            <w:vAlign w:val="center"/>
          </w:tcPr>
          <w:p w14:paraId="6C26DB04">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200</w:t>
            </w:r>
          </w:p>
        </w:tc>
      </w:tr>
      <w:tr w14:paraId="482F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428" w:type="pct"/>
            <w:noWrap w:val="0"/>
            <w:vAlign w:val="center"/>
          </w:tcPr>
          <w:p w14:paraId="43F94F49">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7</w:t>
            </w:r>
          </w:p>
        </w:tc>
        <w:tc>
          <w:tcPr>
            <w:tcW w:w="737" w:type="pct"/>
            <w:noWrap w:val="0"/>
            <w:vAlign w:val="center"/>
          </w:tcPr>
          <w:p w14:paraId="4B018EE2">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墓区道路</w:t>
            </w:r>
          </w:p>
        </w:tc>
        <w:tc>
          <w:tcPr>
            <w:tcW w:w="3065" w:type="pct"/>
            <w:noWrap w:val="0"/>
            <w:vAlign w:val="center"/>
          </w:tcPr>
          <w:p w14:paraId="56B15487">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1、素土夯实</w:t>
            </w:r>
          </w:p>
          <w:p w14:paraId="3AA78EC2">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 、10cm厚 C25混凝土</w:t>
            </w:r>
          </w:p>
          <w:p w14:paraId="6A45C593">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3 、2cm1：3水泥砂浆结合层 </w:t>
            </w:r>
          </w:p>
          <w:p w14:paraId="2EBFB7AE">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 、 600*300*20mm厚五莲花火烧板</w:t>
            </w:r>
          </w:p>
        </w:tc>
        <w:tc>
          <w:tcPr>
            <w:tcW w:w="443" w:type="pct"/>
            <w:noWrap w:val="0"/>
            <w:vAlign w:val="center"/>
          </w:tcPr>
          <w:p w14:paraId="2B62D459">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平方米</w:t>
            </w:r>
          </w:p>
        </w:tc>
        <w:tc>
          <w:tcPr>
            <w:tcW w:w="325" w:type="pct"/>
            <w:noWrap w:val="0"/>
            <w:vAlign w:val="center"/>
          </w:tcPr>
          <w:p w14:paraId="5F67D40E">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1100</w:t>
            </w:r>
          </w:p>
        </w:tc>
      </w:tr>
      <w:tr w14:paraId="5900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8" w:type="pct"/>
            <w:noWrap w:val="0"/>
            <w:vAlign w:val="center"/>
          </w:tcPr>
          <w:p w14:paraId="7D9417FF">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8</w:t>
            </w:r>
          </w:p>
        </w:tc>
        <w:tc>
          <w:tcPr>
            <w:tcW w:w="737" w:type="pct"/>
            <w:noWrap w:val="0"/>
            <w:vAlign w:val="center"/>
          </w:tcPr>
          <w:p w14:paraId="4FFD7996">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园区水泥道路</w:t>
            </w:r>
          </w:p>
        </w:tc>
        <w:tc>
          <w:tcPr>
            <w:tcW w:w="3065" w:type="pct"/>
            <w:noWrap w:val="0"/>
            <w:vAlign w:val="center"/>
          </w:tcPr>
          <w:p w14:paraId="5B6CCEF0">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1、素土夯实</w:t>
            </w:r>
          </w:p>
          <w:p w14:paraId="37B4E71B">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 、20cm厚 C25混凝土</w:t>
            </w:r>
          </w:p>
        </w:tc>
        <w:tc>
          <w:tcPr>
            <w:tcW w:w="443" w:type="pct"/>
            <w:noWrap w:val="0"/>
            <w:vAlign w:val="center"/>
          </w:tcPr>
          <w:p w14:paraId="13F43308">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平方米</w:t>
            </w:r>
          </w:p>
        </w:tc>
        <w:tc>
          <w:tcPr>
            <w:tcW w:w="325" w:type="pct"/>
            <w:noWrap w:val="0"/>
            <w:vAlign w:val="center"/>
          </w:tcPr>
          <w:p w14:paraId="452CFA1D">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400</w:t>
            </w:r>
          </w:p>
        </w:tc>
      </w:tr>
      <w:tr w14:paraId="264A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28" w:type="pct"/>
            <w:noWrap w:val="0"/>
            <w:vAlign w:val="center"/>
          </w:tcPr>
          <w:p w14:paraId="687C18D6">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9</w:t>
            </w:r>
          </w:p>
        </w:tc>
        <w:tc>
          <w:tcPr>
            <w:tcW w:w="737" w:type="pct"/>
            <w:noWrap w:val="0"/>
            <w:vAlign w:val="center"/>
          </w:tcPr>
          <w:p w14:paraId="52BD5849">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园区下水道及花岗岩盖板 </w:t>
            </w:r>
          </w:p>
        </w:tc>
        <w:tc>
          <w:tcPr>
            <w:tcW w:w="3065" w:type="pct"/>
            <w:noWrap w:val="0"/>
            <w:vAlign w:val="center"/>
          </w:tcPr>
          <w:p w14:paraId="4526B598">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1、沟体抹灰                                    </w:t>
            </w:r>
          </w:p>
          <w:p w14:paraId="38D3386B">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2、烧结普通砖240*120*50mm </w:t>
            </w:r>
          </w:p>
          <w:p w14:paraId="07E68CFC">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3、沟内宽40cm，深度35cm                               4、 花岗岩盖板60*30*5cm                                   </w:t>
            </w:r>
          </w:p>
          <w:p w14:paraId="229615FA">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5、含开挖回填、余土运输       </w:t>
            </w:r>
          </w:p>
          <w:p w14:paraId="5A513A05">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具体满足图纸、规范及甲方要求</w:t>
            </w:r>
          </w:p>
        </w:tc>
        <w:tc>
          <w:tcPr>
            <w:tcW w:w="443" w:type="pct"/>
            <w:noWrap w:val="0"/>
            <w:vAlign w:val="center"/>
          </w:tcPr>
          <w:p w14:paraId="2B38928B">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米</w:t>
            </w:r>
          </w:p>
        </w:tc>
        <w:tc>
          <w:tcPr>
            <w:tcW w:w="325" w:type="pct"/>
            <w:noWrap w:val="0"/>
            <w:vAlign w:val="center"/>
          </w:tcPr>
          <w:p w14:paraId="273F1CD6">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150</w:t>
            </w:r>
          </w:p>
        </w:tc>
      </w:tr>
      <w:tr w14:paraId="4A6B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B7997E2">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10</w:t>
            </w:r>
          </w:p>
        </w:tc>
        <w:tc>
          <w:tcPr>
            <w:tcW w:w="737" w:type="pct"/>
            <w:noWrap w:val="0"/>
            <w:vAlign w:val="center"/>
          </w:tcPr>
          <w:p w14:paraId="25FF6C67">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花岗岩路牙石</w:t>
            </w:r>
          </w:p>
        </w:tc>
        <w:tc>
          <w:tcPr>
            <w:tcW w:w="3065" w:type="pct"/>
            <w:noWrap w:val="0"/>
            <w:vAlign w:val="center"/>
          </w:tcPr>
          <w:p w14:paraId="2726E2F9">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1、素土夯实                   </w:t>
            </w:r>
          </w:p>
          <w:p w14:paraId="299556C7">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2、5cm厚C20细石混凝土             </w:t>
            </w:r>
          </w:p>
          <w:p w14:paraId="06EB3410">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3、3cm厚1:3水泥砂浆               </w:t>
            </w:r>
          </w:p>
          <w:p w14:paraId="2AF7FC65">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4、120*250*1000mm五莲花路牙石</w:t>
            </w:r>
          </w:p>
        </w:tc>
        <w:tc>
          <w:tcPr>
            <w:tcW w:w="443" w:type="pct"/>
            <w:noWrap w:val="0"/>
            <w:vAlign w:val="center"/>
          </w:tcPr>
          <w:p w14:paraId="354AF805">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米</w:t>
            </w:r>
          </w:p>
        </w:tc>
        <w:tc>
          <w:tcPr>
            <w:tcW w:w="325" w:type="pct"/>
            <w:noWrap w:val="0"/>
            <w:vAlign w:val="center"/>
          </w:tcPr>
          <w:p w14:paraId="0F2045E4">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200</w:t>
            </w:r>
          </w:p>
        </w:tc>
      </w:tr>
      <w:tr w14:paraId="24A1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428" w:type="pct"/>
            <w:noWrap w:val="0"/>
            <w:vAlign w:val="center"/>
          </w:tcPr>
          <w:p w14:paraId="212C43EB">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11</w:t>
            </w:r>
          </w:p>
        </w:tc>
        <w:tc>
          <w:tcPr>
            <w:tcW w:w="737" w:type="pct"/>
            <w:noWrap w:val="0"/>
            <w:vAlign w:val="center"/>
          </w:tcPr>
          <w:p w14:paraId="52D11D9F">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栽植灌木</w:t>
            </w:r>
          </w:p>
        </w:tc>
        <w:tc>
          <w:tcPr>
            <w:tcW w:w="3065" w:type="pct"/>
            <w:noWrap w:val="0"/>
            <w:vAlign w:val="center"/>
          </w:tcPr>
          <w:p w14:paraId="2990085F">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1、种类：香樟树</w:t>
            </w:r>
          </w:p>
          <w:p w14:paraId="473C122A">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2、冠从高：200cm</w:t>
            </w:r>
          </w:p>
          <w:p w14:paraId="49C77C4F">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3、蓬径：160cm</w:t>
            </w:r>
          </w:p>
          <w:p w14:paraId="6554D463">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4、胸径10cm,树形态满足图纸及甲方要求</w:t>
            </w:r>
          </w:p>
          <w:p w14:paraId="5EC17085">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5、养护期：两年</w:t>
            </w:r>
          </w:p>
          <w:p w14:paraId="43B186C3">
            <w:pPr>
              <w:pStyle w:val="12"/>
              <w:keepNext w:val="0"/>
              <w:keepLines w:val="0"/>
              <w:pageBreakBefore w:val="0"/>
              <w:widowControl w:val="0"/>
              <w:spacing w:after="0" w:line="460"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6、报价含草绳绕干及树固定桩</w:t>
            </w:r>
          </w:p>
        </w:tc>
        <w:tc>
          <w:tcPr>
            <w:tcW w:w="443" w:type="pct"/>
            <w:noWrap w:val="0"/>
            <w:vAlign w:val="center"/>
          </w:tcPr>
          <w:p w14:paraId="79C906EA">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棵</w:t>
            </w:r>
          </w:p>
        </w:tc>
        <w:tc>
          <w:tcPr>
            <w:tcW w:w="325" w:type="pct"/>
            <w:noWrap w:val="0"/>
            <w:vAlign w:val="center"/>
          </w:tcPr>
          <w:p w14:paraId="51DC1ED4">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100</w:t>
            </w:r>
          </w:p>
        </w:tc>
      </w:tr>
      <w:tr w14:paraId="0E2A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38D206B7">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12</w:t>
            </w:r>
          </w:p>
        </w:tc>
        <w:tc>
          <w:tcPr>
            <w:tcW w:w="737" w:type="pct"/>
            <w:noWrap w:val="0"/>
            <w:vAlign w:val="center"/>
          </w:tcPr>
          <w:p w14:paraId="04866043">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栽植灌木</w:t>
            </w:r>
          </w:p>
        </w:tc>
        <w:tc>
          <w:tcPr>
            <w:tcW w:w="3065" w:type="pct"/>
            <w:noWrap w:val="0"/>
            <w:vAlign w:val="center"/>
          </w:tcPr>
          <w:p w14:paraId="5307AC54">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1、种类：红叶石楠球</w:t>
            </w:r>
          </w:p>
          <w:p w14:paraId="200CF31D">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2、蓬径：50cm</w:t>
            </w:r>
          </w:p>
          <w:p w14:paraId="6A886844">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3、养护期：两年</w:t>
            </w:r>
          </w:p>
        </w:tc>
        <w:tc>
          <w:tcPr>
            <w:tcW w:w="443" w:type="pct"/>
            <w:noWrap w:val="0"/>
            <w:vAlign w:val="center"/>
          </w:tcPr>
          <w:p w14:paraId="0FDA4704">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棵</w:t>
            </w:r>
          </w:p>
        </w:tc>
        <w:tc>
          <w:tcPr>
            <w:tcW w:w="325" w:type="pct"/>
            <w:noWrap w:val="0"/>
            <w:vAlign w:val="center"/>
          </w:tcPr>
          <w:p w14:paraId="44AF58DE">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300</w:t>
            </w:r>
          </w:p>
        </w:tc>
      </w:tr>
      <w:tr w14:paraId="50E6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296F2A33">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13</w:t>
            </w:r>
          </w:p>
        </w:tc>
        <w:tc>
          <w:tcPr>
            <w:tcW w:w="737" w:type="pct"/>
            <w:noWrap w:val="0"/>
            <w:vAlign w:val="center"/>
          </w:tcPr>
          <w:p w14:paraId="2B980727">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栽植灌木</w:t>
            </w:r>
          </w:p>
        </w:tc>
        <w:tc>
          <w:tcPr>
            <w:tcW w:w="3065" w:type="pct"/>
            <w:noWrap w:val="0"/>
            <w:vAlign w:val="center"/>
          </w:tcPr>
          <w:p w14:paraId="3B61D5F3">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1、种类：晚樱</w:t>
            </w:r>
          </w:p>
          <w:p w14:paraId="0FA71BC1">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2、冠从高：160cm</w:t>
            </w:r>
          </w:p>
          <w:p w14:paraId="0B3785E2">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3、蓬径：120cm</w:t>
            </w:r>
          </w:p>
          <w:p w14:paraId="0398D81F">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4、胸径8cm,树形态满足图纸及甲方要求</w:t>
            </w:r>
          </w:p>
          <w:p w14:paraId="7077D34E">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5、养护期：两年</w:t>
            </w:r>
          </w:p>
          <w:p w14:paraId="199FD574">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6、报价含草绳绕干及树固定桩</w:t>
            </w:r>
          </w:p>
        </w:tc>
        <w:tc>
          <w:tcPr>
            <w:tcW w:w="443" w:type="pct"/>
            <w:noWrap w:val="0"/>
            <w:vAlign w:val="center"/>
          </w:tcPr>
          <w:p w14:paraId="3FEBFA2A">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棵</w:t>
            </w:r>
          </w:p>
        </w:tc>
        <w:tc>
          <w:tcPr>
            <w:tcW w:w="325" w:type="pct"/>
            <w:noWrap w:val="0"/>
            <w:vAlign w:val="center"/>
          </w:tcPr>
          <w:p w14:paraId="207E6D82">
            <w:pPr>
              <w:pStyle w:val="12"/>
              <w:spacing w:before="182" w:after="0" w:line="468" w:lineRule="exact"/>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50</w:t>
            </w:r>
          </w:p>
        </w:tc>
      </w:tr>
      <w:tr w14:paraId="2C91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13075C61">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w:t>
            </w:r>
          </w:p>
        </w:tc>
        <w:tc>
          <w:tcPr>
            <w:tcW w:w="737" w:type="pct"/>
            <w:shd w:val="clear" w:color="auto" w:fill="auto"/>
            <w:noWrap w:val="0"/>
            <w:vAlign w:val="center"/>
          </w:tcPr>
          <w:p w14:paraId="4D1B91F1">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栽植灌木</w:t>
            </w:r>
          </w:p>
        </w:tc>
        <w:tc>
          <w:tcPr>
            <w:tcW w:w="3065" w:type="pct"/>
            <w:shd w:val="clear" w:color="auto" w:fill="auto"/>
            <w:noWrap w:val="0"/>
            <w:vAlign w:val="center"/>
          </w:tcPr>
          <w:p w14:paraId="5D931E37">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1、种类：紫薇</w:t>
            </w:r>
          </w:p>
          <w:p w14:paraId="2216BC6E">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2、冠从高：160cm</w:t>
            </w:r>
          </w:p>
          <w:p w14:paraId="4CBD596D">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3、蓬径：120cm</w:t>
            </w:r>
          </w:p>
          <w:p w14:paraId="05F40BED">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4、胸径8cm,树形态满足图纸及甲方要求</w:t>
            </w:r>
          </w:p>
          <w:p w14:paraId="3ABE59A7">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5、养护期：两年</w:t>
            </w:r>
          </w:p>
          <w:p w14:paraId="4FD76840">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6、报价含草绳绕干及树固定桩</w:t>
            </w:r>
          </w:p>
        </w:tc>
        <w:tc>
          <w:tcPr>
            <w:tcW w:w="443" w:type="pct"/>
            <w:shd w:val="clear" w:color="auto" w:fill="auto"/>
            <w:noWrap w:val="0"/>
            <w:vAlign w:val="center"/>
          </w:tcPr>
          <w:p w14:paraId="0829AE8C">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棵</w:t>
            </w:r>
          </w:p>
        </w:tc>
        <w:tc>
          <w:tcPr>
            <w:tcW w:w="325" w:type="pct"/>
            <w:shd w:val="clear" w:color="auto" w:fill="auto"/>
            <w:noWrap w:val="0"/>
            <w:vAlign w:val="center"/>
          </w:tcPr>
          <w:p w14:paraId="59354FC7">
            <w:pPr>
              <w:pStyle w:val="12"/>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50</w:t>
            </w:r>
          </w:p>
        </w:tc>
      </w:tr>
      <w:tr w14:paraId="5DB8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428" w:type="pct"/>
            <w:noWrap w:val="0"/>
            <w:vAlign w:val="center"/>
          </w:tcPr>
          <w:p w14:paraId="5B426608">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15</w:t>
            </w:r>
          </w:p>
        </w:tc>
        <w:tc>
          <w:tcPr>
            <w:tcW w:w="737" w:type="pct"/>
            <w:noWrap w:val="0"/>
            <w:vAlign w:val="center"/>
          </w:tcPr>
          <w:p w14:paraId="500AA5EB">
            <w:pPr>
              <w:pStyle w:val="12"/>
              <w:bidi w:val="0"/>
              <w:spacing w:before="182" w:after="0" w:line="468"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栽植绿篱</w:t>
            </w:r>
          </w:p>
          <w:p w14:paraId="6CB9E747">
            <w:pPr>
              <w:pStyle w:val="12"/>
              <w:spacing w:before="182" w:after="0" w:line="468" w:lineRule="exact"/>
              <w:jc w:val="left"/>
              <w:rPr>
                <w:rFonts w:hint="eastAsia" w:ascii="仿宋" w:hAnsi="仿宋" w:eastAsia="仿宋" w:cs="仿宋"/>
                <w:color w:val="auto"/>
                <w:sz w:val="24"/>
                <w:szCs w:val="24"/>
                <w:highlight w:val="none"/>
                <w:lang w:val="en-US" w:eastAsia="zh-CN" w:bidi="ar-SA"/>
              </w:rPr>
            </w:pPr>
          </w:p>
        </w:tc>
        <w:tc>
          <w:tcPr>
            <w:tcW w:w="3065" w:type="pct"/>
            <w:noWrap w:val="0"/>
            <w:vAlign w:val="center"/>
          </w:tcPr>
          <w:p w14:paraId="7CEFA5DA">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1、种类：红叶石楠</w:t>
            </w:r>
          </w:p>
          <w:p w14:paraId="708FFA60">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2、篱高：40cm</w:t>
            </w:r>
          </w:p>
          <w:p w14:paraId="47544A3A">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3、行数、蓬径：30cm</w:t>
            </w:r>
          </w:p>
          <w:p w14:paraId="6D9277C7">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4、每平方株数31棵</w:t>
            </w:r>
          </w:p>
          <w:p w14:paraId="432DECBF">
            <w:pPr>
              <w:pStyle w:val="12"/>
              <w:keepNext w:val="0"/>
              <w:keepLines w:val="0"/>
              <w:pageBreakBefore w:val="0"/>
              <w:widowControl w:val="0"/>
              <w:spacing w:after="0" w:line="46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5、养护期：两年</w:t>
            </w:r>
          </w:p>
        </w:tc>
        <w:tc>
          <w:tcPr>
            <w:tcW w:w="443" w:type="pct"/>
            <w:noWrap w:val="0"/>
            <w:vAlign w:val="center"/>
          </w:tcPr>
          <w:p w14:paraId="2056C1C7">
            <w:pPr>
              <w:pStyle w:val="12"/>
              <w:spacing w:before="182" w:after="0" w:line="468" w:lineRule="exact"/>
              <w:jc w:val="both"/>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平方米</w:t>
            </w:r>
          </w:p>
        </w:tc>
        <w:tc>
          <w:tcPr>
            <w:tcW w:w="325" w:type="pct"/>
            <w:noWrap w:val="0"/>
            <w:vAlign w:val="center"/>
          </w:tcPr>
          <w:p w14:paraId="67FF2952">
            <w:pPr>
              <w:pStyle w:val="12"/>
              <w:spacing w:before="182" w:after="0" w:line="468" w:lineRule="exact"/>
              <w:jc w:val="both"/>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200</w:t>
            </w:r>
          </w:p>
        </w:tc>
      </w:tr>
      <w:tr w14:paraId="03F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F2C7E7E">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16</w:t>
            </w:r>
          </w:p>
        </w:tc>
        <w:tc>
          <w:tcPr>
            <w:tcW w:w="737" w:type="pct"/>
            <w:noWrap w:val="0"/>
            <w:vAlign w:val="center"/>
          </w:tcPr>
          <w:p w14:paraId="699463A4">
            <w:pPr>
              <w:pStyle w:val="12"/>
              <w:spacing w:before="182" w:after="0" w:line="468"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墓穴拆装</w:t>
            </w:r>
          </w:p>
        </w:tc>
        <w:tc>
          <w:tcPr>
            <w:tcW w:w="3065" w:type="pct"/>
            <w:noWrap w:val="0"/>
            <w:vAlign w:val="center"/>
          </w:tcPr>
          <w:p w14:paraId="58C76528">
            <w:pPr>
              <w:pStyle w:val="12"/>
              <w:spacing w:before="182" w:after="0" w:line="468" w:lineRule="exact"/>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原永恒区墓穴拆除重新安装</w:t>
            </w:r>
          </w:p>
        </w:tc>
        <w:tc>
          <w:tcPr>
            <w:tcW w:w="443" w:type="pct"/>
            <w:noWrap w:val="0"/>
            <w:vAlign w:val="center"/>
          </w:tcPr>
          <w:p w14:paraId="6F35FF3E">
            <w:pPr>
              <w:pStyle w:val="12"/>
              <w:spacing w:before="182" w:after="0" w:line="468" w:lineRule="exact"/>
              <w:jc w:val="both"/>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穴</w:t>
            </w:r>
          </w:p>
        </w:tc>
        <w:tc>
          <w:tcPr>
            <w:tcW w:w="325" w:type="pct"/>
            <w:noWrap w:val="0"/>
            <w:vAlign w:val="center"/>
          </w:tcPr>
          <w:p w14:paraId="41383094">
            <w:pPr>
              <w:pStyle w:val="12"/>
              <w:spacing w:before="182" w:after="0" w:line="468" w:lineRule="exact"/>
              <w:jc w:val="both"/>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50</w:t>
            </w:r>
          </w:p>
        </w:tc>
      </w:tr>
    </w:tbl>
    <w:p w14:paraId="1A155BE5">
      <w:pPr>
        <w:pStyle w:val="12"/>
        <w:spacing w:before="78" w:line="219" w:lineRule="auto"/>
        <w:rPr>
          <w:rFonts w:hint="eastAsia" w:eastAsia="宋体"/>
          <w:b/>
          <w:bCs/>
          <w:lang w:val="en-US" w:eastAsia="zh-CN"/>
        </w:rPr>
      </w:pPr>
    </w:p>
    <w:p w14:paraId="4836331D">
      <w:pPr>
        <w:pStyle w:val="12"/>
        <w:spacing w:before="78" w:line="219" w:lineRule="auto"/>
        <w:rPr>
          <w:rFonts w:hint="eastAsia" w:eastAsia="宋体"/>
          <w:b/>
          <w:bCs/>
          <w:lang w:val="en-US" w:eastAsia="zh-CN"/>
        </w:rPr>
      </w:pPr>
    </w:p>
    <w:p w14:paraId="355C68D2">
      <w:pPr>
        <w:pStyle w:val="12"/>
        <w:spacing w:before="78" w:line="219" w:lineRule="auto"/>
        <w:rPr>
          <w:rFonts w:hint="eastAsia" w:eastAsia="宋体"/>
          <w:b/>
          <w:bCs/>
          <w:lang w:val="en-US" w:eastAsia="zh-CN"/>
        </w:rPr>
      </w:pPr>
      <w:r>
        <w:rPr>
          <w:rFonts w:hint="eastAsia" w:eastAsia="宋体"/>
          <w:b/>
          <w:bCs/>
          <w:lang w:val="en-US" w:eastAsia="zh-CN"/>
        </w:rPr>
        <w:t>艺术墓1效果图：</w:t>
      </w:r>
    </w:p>
    <w:p w14:paraId="6324D095">
      <w:pPr>
        <w:pStyle w:val="12"/>
        <w:spacing w:before="78" w:line="219" w:lineRule="auto"/>
        <w:rPr>
          <w:rStyle w:val="4"/>
          <w:rFonts w:hint="eastAsia" w:ascii="宋体" w:hAnsi="宋体" w:eastAsia="宋体" w:cs="宋体"/>
          <w:b/>
          <w:bCs/>
          <w:spacing w:val="-6"/>
          <w:sz w:val="24"/>
          <w:szCs w:val="24"/>
          <w:lang w:val="en-US" w:eastAsia="zh-CN"/>
        </w:rPr>
      </w:pPr>
      <w:r>
        <w:drawing>
          <wp:inline distT="0" distB="0" distL="114300" distR="114300">
            <wp:extent cx="5269865" cy="373951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9865" cy="3739515"/>
                    </a:xfrm>
                    <a:prstGeom prst="rect">
                      <a:avLst/>
                    </a:prstGeom>
                    <a:noFill/>
                    <a:ln>
                      <a:noFill/>
                    </a:ln>
                  </pic:spPr>
                </pic:pic>
              </a:graphicData>
            </a:graphic>
          </wp:inline>
        </w:drawing>
      </w:r>
    </w:p>
    <w:p w14:paraId="3F9A0296">
      <w:pPr>
        <w:pStyle w:val="12"/>
        <w:spacing w:before="78" w:line="219" w:lineRule="auto"/>
        <w:rPr>
          <w:rStyle w:val="4"/>
          <w:rFonts w:hint="eastAsia" w:ascii="宋体" w:hAnsi="宋体" w:eastAsia="宋体" w:cs="宋体"/>
          <w:b/>
          <w:bCs/>
          <w:spacing w:val="-6"/>
          <w:sz w:val="24"/>
          <w:szCs w:val="24"/>
          <w:lang w:val="en-US" w:eastAsia="zh-CN"/>
        </w:rPr>
      </w:pPr>
    </w:p>
    <w:p w14:paraId="765609FC">
      <w:pPr>
        <w:pStyle w:val="12"/>
        <w:spacing w:before="78" w:line="219" w:lineRule="auto"/>
        <w:rPr>
          <w:rStyle w:val="4"/>
          <w:rFonts w:hint="eastAsia" w:ascii="宋体" w:hAnsi="宋体" w:eastAsia="宋体" w:cs="宋体"/>
          <w:b/>
          <w:bCs/>
          <w:spacing w:val="-6"/>
          <w:sz w:val="24"/>
          <w:szCs w:val="24"/>
          <w:lang w:val="en-US" w:eastAsia="zh-CN"/>
        </w:rPr>
      </w:pPr>
      <w:r>
        <w:rPr>
          <w:rStyle w:val="4"/>
          <w:rFonts w:hint="eastAsia" w:ascii="宋体" w:hAnsi="宋体" w:eastAsia="宋体" w:cs="宋体"/>
          <w:b/>
          <w:bCs/>
          <w:spacing w:val="-6"/>
          <w:sz w:val="24"/>
          <w:szCs w:val="24"/>
          <w:lang w:val="en-US" w:eastAsia="zh-CN"/>
        </w:rPr>
        <w:t>艺术墓1图纸：</w:t>
      </w:r>
    </w:p>
    <w:p w14:paraId="22352FE6">
      <w:pPr>
        <w:pStyle w:val="12"/>
        <w:spacing w:before="78" w:line="219" w:lineRule="auto"/>
        <w:rPr>
          <w:rStyle w:val="4"/>
          <w:rFonts w:hint="default" w:ascii="宋体" w:hAnsi="宋体" w:eastAsia="宋体" w:cs="宋体"/>
          <w:b/>
          <w:bCs/>
          <w:spacing w:val="-6"/>
          <w:sz w:val="24"/>
          <w:szCs w:val="24"/>
          <w:lang w:val="en-US" w:eastAsia="zh-CN"/>
        </w:rPr>
      </w:pPr>
      <w:r>
        <w:drawing>
          <wp:inline distT="0" distB="0" distL="114300" distR="114300">
            <wp:extent cx="5263515" cy="3707765"/>
            <wp:effectExtent l="0" t="0" r="952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3515" cy="3707765"/>
                    </a:xfrm>
                    <a:prstGeom prst="rect">
                      <a:avLst/>
                    </a:prstGeom>
                    <a:noFill/>
                    <a:ln>
                      <a:noFill/>
                    </a:ln>
                  </pic:spPr>
                </pic:pic>
              </a:graphicData>
            </a:graphic>
          </wp:inline>
        </w:drawing>
      </w:r>
    </w:p>
    <w:p w14:paraId="0F602B0B">
      <w:pPr>
        <w:pStyle w:val="12"/>
        <w:spacing w:before="78" w:line="219" w:lineRule="auto"/>
        <w:rPr>
          <w:rStyle w:val="4"/>
          <w:rFonts w:hint="eastAsia" w:ascii="宋体" w:hAnsi="宋体" w:eastAsia="宋体" w:cs="宋体"/>
          <w:b/>
          <w:bCs/>
          <w:spacing w:val="-6"/>
          <w:sz w:val="24"/>
          <w:szCs w:val="24"/>
          <w:lang w:val="en-US" w:eastAsia="zh-CN"/>
        </w:rPr>
      </w:pPr>
      <w:r>
        <w:drawing>
          <wp:inline distT="0" distB="0" distL="114300" distR="114300">
            <wp:extent cx="5266055" cy="3679825"/>
            <wp:effectExtent l="0" t="0" r="698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66055" cy="3679825"/>
                    </a:xfrm>
                    <a:prstGeom prst="rect">
                      <a:avLst/>
                    </a:prstGeom>
                    <a:noFill/>
                    <a:ln>
                      <a:noFill/>
                    </a:ln>
                  </pic:spPr>
                </pic:pic>
              </a:graphicData>
            </a:graphic>
          </wp:inline>
        </w:drawing>
      </w:r>
      <w:r>
        <w:drawing>
          <wp:inline distT="0" distB="0" distL="114300" distR="114300">
            <wp:extent cx="5267325" cy="3667760"/>
            <wp:effectExtent l="0" t="0" r="571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267325" cy="3667760"/>
                    </a:xfrm>
                    <a:prstGeom prst="rect">
                      <a:avLst/>
                    </a:prstGeom>
                    <a:noFill/>
                    <a:ln>
                      <a:noFill/>
                    </a:ln>
                  </pic:spPr>
                </pic:pic>
              </a:graphicData>
            </a:graphic>
          </wp:inline>
        </w:drawing>
      </w:r>
    </w:p>
    <w:p w14:paraId="199AD61F">
      <w:pPr>
        <w:pStyle w:val="12"/>
        <w:spacing w:before="78" w:line="219" w:lineRule="auto"/>
        <w:rPr>
          <w:rFonts w:hint="eastAsia" w:eastAsia="宋体"/>
          <w:b/>
          <w:bCs/>
          <w:lang w:val="en-US" w:eastAsia="zh-CN"/>
        </w:rPr>
      </w:pPr>
    </w:p>
    <w:p w14:paraId="270EB9D9">
      <w:pPr>
        <w:pStyle w:val="12"/>
        <w:spacing w:before="78" w:line="219" w:lineRule="auto"/>
        <w:rPr>
          <w:rFonts w:hint="eastAsia" w:eastAsia="宋体"/>
          <w:b/>
          <w:bCs/>
          <w:lang w:val="en-US" w:eastAsia="zh-CN"/>
        </w:rPr>
      </w:pPr>
    </w:p>
    <w:p w14:paraId="4B0D07E9">
      <w:pPr>
        <w:pStyle w:val="12"/>
        <w:spacing w:before="78" w:line="219" w:lineRule="auto"/>
        <w:rPr>
          <w:rFonts w:hint="eastAsia" w:eastAsia="宋体"/>
          <w:b/>
          <w:bCs/>
          <w:lang w:val="en-US" w:eastAsia="zh-CN"/>
        </w:rPr>
      </w:pPr>
    </w:p>
    <w:p w14:paraId="3AF16207">
      <w:pPr>
        <w:pStyle w:val="12"/>
        <w:spacing w:before="78" w:line="219" w:lineRule="auto"/>
        <w:rPr>
          <w:rFonts w:hint="eastAsia" w:eastAsia="宋体"/>
          <w:b/>
          <w:bCs/>
          <w:lang w:val="en-US" w:eastAsia="zh-CN"/>
        </w:rPr>
      </w:pPr>
    </w:p>
    <w:p w14:paraId="5C2791CF">
      <w:pPr>
        <w:pStyle w:val="12"/>
        <w:spacing w:before="78" w:line="219" w:lineRule="auto"/>
        <w:rPr>
          <w:rFonts w:hint="eastAsia" w:eastAsia="宋体"/>
          <w:b/>
          <w:bCs/>
          <w:lang w:val="en-US" w:eastAsia="zh-CN"/>
        </w:rPr>
      </w:pPr>
    </w:p>
    <w:p w14:paraId="5F94A3F4">
      <w:pPr>
        <w:pStyle w:val="12"/>
        <w:spacing w:before="78" w:line="219" w:lineRule="auto"/>
        <w:rPr>
          <w:rFonts w:hint="eastAsia" w:eastAsia="宋体"/>
          <w:b/>
          <w:bCs/>
          <w:lang w:val="en-US" w:eastAsia="zh-CN"/>
        </w:rPr>
      </w:pPr>
    </w:p>
    <w:p w14:paraId="7C40A8E6">
      <w:pPr>
        <w:pStyle w:val="12"/>
        <w:spacing w:before="78" w:line="219" w:lineRule="auto"/>
        <w:rPr>
          <w:rStyle w:val="4"/>
          <w:rFonts w:hint="eastAsia" w:ascii="宋体" w:hAnsi="宋体" w:eastAsia="宋体" w:cs="宋体"/>
          <w:b/>
          <w:bCs/>
          <w:spacing w:val="-6"/>
          <w:sz w:val="24"/>
          <w:szCs w:val="24"/>
          <w:lang w:val="en-US" w:eastAsia="zh-CN"/>
        </w:rPr>
      </w:pPr>
      <w:r>
        <w:rPr>
          <w:rFonts w:hint="eastAsia" w:eastAsia="宋体"/>
          <w:b/>
          <w:bCs/>
          <w:lang w:val="en-US" w:eastAsia="zh-CN"/>
        </w:rPr>
        <w:t>艺术墓2效果图：</w:t>
      </w:r>
    </w:p>
    <w:p w14:paraId="344CA023">
      <w:pPr>
        <w:pStyle w:val="12"/>
        <w:spacing w:before="78" w:line="219" w:lineRule="auto"/>
        <w:rPr>
          <w:rStyle w:val="4"/>
          <w:rFonts w:hint="eastAsia" w:ascii="宋体" w:hAnsi="宋体" w:eastAsia="宋体" w:cs="宋体"/>
          <w:b/>
          <w:bCs/>
          <w:spacing w:val="-6"/>
          <w:sz w:val="24"/>
          <w:szCs w:val="24"/>
          <w:lang w:val="en-US" w:eastAsia="zh-CN"/>
        </w:rPr>
      </w:pPr>
      <w:r>
        <w:drawing>
          <wp:inline distT="0" distB="0" distL="114300" distR="114300">
            <wp:extent cx="5266055" cy="3682365"/>
            <wp:effectExtent l="0" t="0" r="6985"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266055" cy="3682365"/>
                    </a:xfrm>
                    <a:prstGeom prst="rect">
                      <a:avLst/>
                    </a:prstGeom>
                    <a:noFill/>
                    <a:ln>
                      <a:noFill/>
                    </a:ln>
                  </pic:spPr>
                </pic:pic>
              </a:graphicData>
            </a:graphic>
          </wp:inline>
        </w:drawing>
      </w:r>
    </w:p>
    <w:p w14:paraId="4E8D3618">
      <w:pPr>
        <w:pStyle w:val="12"/>
        <w:spacing w:before="78" w:line="219" w:lineRule="auto"/>
        <w:rPr>
          <w:rStyle w:val="4"/>
          <w:rFonts w:hint="eastAsia" w:ascii="宋体" w:hAnsi="宋体" w:eastAsia="宋体" w:cs="宋体"/>
          <w:b/>
          <w:bCs/>
          <w:spacing w:val="-6"/>
          <w:sz w:val="24"/>
          <w:szCs w:val="24"/>
          <w:lang w:val="en-US" w:eastAsia="zh-CN"/>
        </w:rPr>
      </w:pPr>
      <w:r>
        <w:rPr>
          <w:rStyle w:val="4"/>
          <w:rFonts w:hint="eastAsia" w:ascii="宋体" w:hAnsi="宋体" w:eastAsia="宋体" w:cs="宋体"/>
          <w:b/>
          <w:bCs/>
          <w:spacing w:val="-6"/>
          <w:sz w:val="24"/>
          <w:szCs w:val="24"/>
          <w:lang w:val="en-US" w:eastAsia="zh-CN"/>
        </w:rPr>
        <w:t>艺术墓2图纸：</w:t>
      </w:r>
    </w:p>
    <w:p w14:paraId="5DEDC2D4">
      <w:pPr>
        <w:pStyle w:val="12"/>
        <w:spacing w:before="78" w:line="219" w:lineRule="auto"/>
        <w:rPr>
          <w:rStyle w:val="4"/>
          <w:rFonts w:hint="eastAsia" w:ascii="宋体" w:hAnsi="宋体" w:eastAsia="宋体" w:cs="宋体"/>
          <w:b/>
          <w:bCs/>
          <w:spacing w:val="-6"/>
          <w:sz w:val="24"/>
          <w:szCs w:val="24"/>
          <w:lang w:val="en-US" w:eastAsia="zh-CN"/>
        </w:rPr>
      </w:pPr>
      <w:r>
        <w:drawing>
          <wp:inline distT="0" distB="0" distL="114300" distR="114300">
            <wp:extent cx="5264785" cy="3646170"/>
            <wp:effectExtent l="0" t="0" r="825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64785" cy="3646170"/>
                    </a:xfrm>
                    <a:prstGeom prst="rect">
                      <a:avLst/>
                    </a:prstGeom>
                    <a:noFill/>
                    <a:ln>
                      <a:noFill/>
                    </a:ln>
                  </pic:spPr>
                </pic:pic>
              </a:graphicData>
            </a:graphic>
          </wp:inline>
        </w:drawing>
      </w:r>
      <w:r>
        <w:drawing>
          <wp:inline distT="0" distB="0" distL="114300" distR="114300">
            <wp:extent cx="5262880" cy="3646170"/>
            <wp:effectExtent l="0" t="0" r="10160" b="1143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262880" cy="3646170"/>
                    </a:xfrm>
                    <a:prstGeom prst="rect">
                      <a:avLst/>
                    </a:prstGeom>
                    <a:noFill/>
                    <a:ln>
                      <a:noFill/>
                    </a:ln>
                  </pic:spPr>
                </pic:pic>
              </a:graphicData>
            </a:graphic>
          </wp:inline>
        </w:drawing>
      </w:r>
      <w:r>
        <w:drawing>
          <wp:inline distT="0" distB="0" distL="114300" distR="114300">
            <wp:extent cx="5266055" cy="3682365"/>
            <wp:effectExtent l="0" t="0" r="6985"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266055" cy="3682365"/>
                    </a:xfrm>
                    <a:prstGeom prst="rect">
                      <a:avLst/>
                    </a:prstGeom>
                    <a:noFill/>
                    <a:ln>
                      <a:noFill/>
                    </a:ln>
                  </pic:spPr>
                </pic:pic>
              </a:graphicData>
            </a:graphic>
          </wp:inline>
        </w:drawing>
      </w:r>
    </w:p>
    <w:p w14:paraId="49B30C1A">
      <w:pPr>
        <w:pStyle w:val="12"/>
        <w:spacing w:before="78" w:line="219" w:lineRule="auto"/>
        <w:rPr>
          <w:rStyle w:val="4"/>
          <w:rFonts w:hint="eastAsia" w:ascii="宋体" w:hAnsi="宋体" w:eastAsia="宋体" w:cs="宋体"/>
          <w:b/>
          <w:bCs/>
          <w:spacing w:val="-6"/>
          <w:sz w:val="24"/>
          <w:szCs w:val="24"/>
          <w:lang w:val="en-US" w:eastAsia="zh-CN"/>
        </w:rPr>
      </w:pPr>
    </w:p>
    <w:p w14:paraId="4B9285B1">
      <w:pPr>
        <w:pStyle w:val="12"/>
        <w:spacing w:before="78" w:line="219" w:lineRule="auto"/>
        <w:rPr>
          <w:rStyle w:val="4"/>
          <w:rFonts w:hint="eastAsia" w:ascii="宋体" w:hAnsi="宋体" w:eastAsia="宋体" w:cs="宋体"/>
          <w:b/>
          <w:bCs/>
          <w:spacing w:val="-6"/>
          <w:sz w:val="24"/>
          <w:szCs w:val="24"/>
          <w:lang w:val="en-US" w:eastAsia="zh-CN"/>
        </w:rPr>
      </w:pPr>
    </w:p>
    <w:p w14:paraId="045F82A4">
      <w:pPr>
        <w:pStyle w:val="12"/>
        <w:spacing w:before="78" w:line="219" w:lineRule="auto"/>
        <w:rPr>
          <w:rStyle w:val="4"/>
          <w:rFonts w:hint="eastAsia" w:ascii="宋体" w:hAnsi="宋体" w:eastAsia="宋体" w:cs="宋体"/>
          <w:b/>
          <w:bCs/>
          <w:spacing w:val="-6"/>
          <w:sz w:val="24"/>
          <w:szCs w:val="24"/>
          <w:lang w:val="en-US" w:eastAsia="zh-CN"/>
        </w:rPr>
      </w:pPr>
    </w:p>
    <w:p w14:paraId="43FBEABE">
      <w:pPr>
        <w:pStyle w:val="12"/>
        <w:spacing w:before="78" w:line="219" w:lineRule="auto"/>
        <w:rPr>
          <w:rStyle w:val="4"/>
          <w:rFonts w:hint="eastAsia" w:ascii="宋体" w:hAnsi="宋体" w:eastAsia="宋体" w:cs="宋体"/>
          <w:b/>
          <w:bCs/>
          <w:spacing w:val="-6"/>
          <w:sz w:val="24"/>
          <w:szCs w:val="24"/>
          <w:lang w:val="en-US" w:eastAsia="zh-CN"/>
        </w:rPr>
      </w:pPr>
    </w:p>
    <w:p w14:paraId="5E951B5C">
      <w:pPr>
        <w:pStyle w:val="12"/>
        <w:spacing w:before="78" w:line="219" w:lineRule="auto"/>
        <w:rPr>
          <w:rStyle w:val="4"/>
          <w:rFonts w:hint="eastAsia" w:ascii="宋体" w:hAnsi="宋体" w:eastAsia="宋体" w:cs="宋体"/>
          <w:b/>
          <w:bCs/>
          <w:spacing w:val="-6"/>
          <w:sz w:val="24"/>
          <w:szCs w:val="24"/>
          <w:lang w:val="en-US" w:eastAsia="zh-CN"/>
        </w:rPr>
      </w:pPr>
    </w:p>
    <w:p w14:paraId="39F2A31D">
      <w:pPr>
        <w:pStyle w:val="12"/>
        <w:spacing w:before="78" w:line="219" w:lineRule="auto"/>
        <w:rPr>
          <w:rStyle w:val="4"/>
          <w:rFonts w:hint="eastAsia" w:ascii="宋体" w:hAnsi="宋体" w:eastAsia="宋体" w:cs="宋体"/>
          <w:b/>
          <w:bCs/>
          <w:spacing w:val="-6"/>
          <w:sz w:val="24"/>
          <w:szCs w:val="24"/>
          <w:lang w:val="en-US" w:eastAsia="zh-CN"/>
        </w:rPr>
      </w:pPr>
      <w:r>
        <w:rPr>
          <w:rStyle w:val="4"/>
          <w:rFonts w:hint="eastAsia" w:ascii="宋体" w:hAnsi="宋体" w:eastAsia="宋体" w:cs="宋体"/>
          <w:b/>
          <w:bCs/>
          <w:spacing w:val="-6"/>
          <w:sz w:val="24"/>
          <w:szCs w:val="24"/>
          <w:lang w:val="en-US" w:eastAsia="zh-CN"/>
        </w:rPr>
        <w:t>艺术墓3效果图：</w:t>
      </w:r>
    </w:p>
    <w:p w14:paraId="6F91F2E4">
      <w:pPr>
        <w:pStyle w:val="12"/>
        <w:spacing w:before="78" w:line="219" w:lineRule="auto"/>
        <w:rPr>
          <w:rFonts w:hint="eastAsia" w:eastAsia="宋体"/>
          <w:lang w:val="en-US" w:eastAsia="zh-CN"/>
        </w:rPr>
      </w:pPr>
      <w:r>
        <w:drawing>
          <wp:inline distT="0" distB="0" distL="114300" distR="114300">
            <wp:extent cx="5262245" cy="3666490"/>
            <wp:effectExtent l="0" t="0" r="10795" b="635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262245" cy="3666490"/>
                    </a:xfrm>
                    <a:prstGeom prst="rect">
                      <a:avLst/>
                    </a:prstGeom>
                    <a:noFill/>
                    <a:ln>
                      <a:noFill/>
                    </a:ln>
                  </pic:spPr>
                </pic:pic>
              </a:graphicData>
            </a:graphic>
          </wp:inline>
        </w:drawing>
      </w:r>
    </w:p>
    <w:p w14:paraId="61061E43">
      <w:pPr>
        <w:widowControl w:val="0"/>
        <w:spacing w:before="78" w:line="219" w:lineRule="auto"/>
        <w:jc w:val="both"/>
        <w:rPr>
          <w:rFonts w:hint="eastAsia" w:ascii="宋体" w:hAnsi="宋体" w:eastAsia="宋体" w:cs="宋体"/>
          <w:b/>
          <w:bCs/>
          <w:spacing w:val="-6"/>
          <w:sz w:val="24"/>
          <w:szCs w:val="24"/>
          <w:lang w:val="en-US" w:eastAsia="zh-CN"/>
        </w:rPr>
      </w:pPr>
    </w:p>
    <w:p w14:paraId="71C7564D">
      <w:pPr>
        <w:widowControl w:val="0"/>
        <w:spacing w:before="78" w:line="219" w:lineRule="auto"/>
        <w:jc w:val="both"/>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艺术</w:t>
      </w:r>
      <w:r>
        <w:rPr>
          <w:rStyle w:val="4"/>
          <w:rFonts w:hint="eastAsia" w:ascii="宋体" w:hAnsi="宋体" w:eastAsia="宋体" w:cs="宋体"/>
          <w:b/>
          <w:bCs/>
          <w:spacing w:val="-6"/>
          <w:sz w:val="24"/>
          <w:szCs w:val="24"/>
          <w:lang w:val="en-US" w:eastAsia="zh-CN"/>
        </w:rPr>
        <w:t>墓</w:t>
      </w:r>
      <w:r>
        <w:rPr>
          <w:rFonts w:hint="eastAsia" w:ascii="宋体" w:hAnsi="宋体" w:eastAsia="宋体" w:cs="宋体"/>
          <w:b/>
          <w:bCs/>
          <w:spacing w:val="-6"/>
          <w:sz w:val="24"/>
          <w:szCs w:val="24"/>
          <w:lang w:val="en-US" w:eastAsia="zh-CN"/>
        </w:rPr>
        <w:t>3图纸：</w:t>
      </w:r>
    </w:p>
    <w:p w14:paraId="5DCAC310">
      <w:pPr>
        <w:widowControl w:val="0"/>
        <w:spacing w:before="78" w:line="219" w:lineRule="auto"/>
        <w:jc w:val="both"/>
        <w:rPr>
          <w:rFonts w:hint="eastAsia" w:ascii="宋体" w:hAnsi="宋体" w:eastAsia="宋体" w:cs="宋体"/>
          <w:b/>
          <w:bCs/>
          <w:spacing w:val="-6"/>
          <w:sz w:val="24"/>
          <w:szCs w:val="24"/>
          <w:lang w:val="en-US" w:eastAsia="zh-CN"/>
        </w:rPr>
      </w:pPr>
      <w:r>
        <w:drawing>
          <wp:inline distT="0" distB="0" distL="114300" distR="114300">
            <wp:extent cx="5273040" cy="3634740"/>
            <wp:effectExtent l="0" t="0" r="0"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273040" cy="3634740"/>
                    </a:xfrm>
                    <a:prstGeom prst="rect">
                      <a:avLst/>
                    </a:prstGeom>
                    <a:noFill/>
                    <a:ln>
                      <a:noFill/>
                    </a:ln>
                  </pic:spPr>
                </pic:pic>
              </a:graphicData>
            </a:graphic>
          </wp:inline>
        </w:drawing>
      </w:r>
      <w:r>
        <w:drawing>
          <wp:inline distT="0" distB="0" distL="114300" distR="114300">
            <wp:extent cx="5265420" cy="3676650"/>
            <wp:effectExtent l="0" t="0" r="7620"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5265420" cy="3676650"/>
                    </a:xfrm>
                    <a:prstGeom prst="rect">
                      <a:avLst/>
                    </a:prstGeom>
                    <a:noFill/>
                    <a:ln>
                      <a:noFill/>
                    </a:ln>
                  </pic:spPr>
                </pic:pic>
              </a:graphicData>
            </a:graphic>
          </wp:inline>
        </w:drawing>
      </w:r>
      <w:r>
        <w:drawing>
          <wp:inline distT="0" distB="0" distL="114300" distR="114300">
            <wp:extent cx="5266055" cy="3693160"/>
            <wp:effectExtent l="0" t="0" r="6985" b="1016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a:stretch>
                      <a:fillRect/>
                    </a:stretch>
                  </pic:blipFill>
                  <pic:spPr>
                    <a:xfrm>
                      <a:off x="0" y="0"/>
                      <a:ext cx="5266055" cy="3693160"/>
                    </a:xfrm>
                    <a:prstGeom prst="rect">
                      <a:avLst/>
                    </a:prstGeom>
                    <a:noFill/>
                    <a:ln>
                      <a:noFill/>
                    </a:ln>
                  </pic:spPr>
                </pic:pic>
              </a:graphicData>
            </a:graphic>
          </wp:inline>
        </w:drawing>
      </w:r>
    </w:p>
    <w:p w14:paraId="2706921D">
      <w:pPr>
        <w:widowControl w:val="0"/>
        <w:spacing w:before="78" w:line="219" w:lineRule="auto"/>
        <w:jc w:val="both"/>
        <w:rPr>
          <w:rFonts w:hint="eastAsia" w:ascii="宋体" w:hAnsi="宋体" w:eastAsia="宋体" w:cs="宋体"/>
          <w:b/>
          <w:bCs/>
          <w:spacing w:val="-6"/>
          <w:sz w:val="24"/>
          <w:szCs w:val="24"/>
          <w:lang w:val="en-US" w:eastAsia="zh-CN"/>
        </w:rPr>
      </w:pPr>
    </w:p>
    <w:p w14:paraId="011950CF">
      <w:pPr>
        <w:widowControl w:val="0"/>
        <w:spacing w:before="78" w:line="219" w:lineRule="auto"/>
        <w:jc w:val="both"/>
        <w:rPr>
          <w:rFonts w:hint="eastAsia" w:ascii="宋体" w:hAnsi="宋体" w:eastAsia="宋体" w:cs="宋体"/>
          <w:b/>
          <w:bCs/>
          <w:spacing w:val="-6"/>
          <w:sz w:val="24"/>
          <w:szCs w:val="24"/>
          <w:lang w:val="en-US" w:eastAsia="zh-CN"/>
        </w:rPr>
      </w:pPr>
    </w:p>
    <w:p w14:paraId="1EDE1F42">
      <w:pPr>
        <w:widowControl w:val="0"/>
        <w:spacing w:before="78" w:line="219" w:lineRule="auto"/>
        <w:jc w:val="both"/>
        <w:rPr>
          <w:rFonts w:hint="eastAsia" w:ascii="宋体" w:hAnsi="宋体" w:eastAsia="宋体" w:cs="宋体"/>
          <w:b/>
          <w:bCs/>
          <w:spacing w:val="-6"/>
          <w:sz w:val="24"/>
          <w:szCs w:val="24"/>
          <w:lang w:val="en-US" w:eastAsia="zh-CN"/>
        </w:rPr>
      </w:pPr>
    </w:p>
    <w:p w14:paraId="1E6F2387">
      <w:pPr>
        <w:pStyle w:val="12"/>
        <w:spacing w:before="78" w:line="219" w:lineRule="auto"/>
        <w:rPr>
          <w:rFonts w:hint="eastAsia" w:eastAsia="宋体"/>
          <w:lang w:val="en-US" w:eastAsia="zh-CN"/>
        </w:rPr>
      </w:pPr>
    </w:p>
    <w:p w14:paraId="0F538354">
      <w:pPr>
        <w:pStyle w:val="12"/>
        <w:spacing w:before="78" w:line="219" w:lineRule="auto"/>
        <w:rPr>
          <w:rFonts w:hint="eastAsia" w:eastAsia="宋体"/>
          <w:b/>
          <w:bCs/>
          <w:lang w:val="en-US" w:eastAsia="zh-CN"/>
        </w:rPr>
      </w:pPr>
    </w:p>
    <w:p w14:paraId="1EC0C52F">
      <w:pPr>
        <w:pStyle w:val="12"/>
        <w:spacing w:before="78" w:line="219" w:lineRule="auto"/>
        <w:rPr>
          <w:rFonts w:hint="eastAsia" w:eastAsia="宋体"/>
          <w:b/>
          <w:bCs/>
          <w:lang w:val="en-US" w:eastAsia="zh-CN"/>
        </w:rPr>
      </w:pPr>
    </w:p>
    <w:p w14:paraId="31CF9A56">
      <w:pPr>
        <w:pStyle w:val="12"/>
        <w:spacing w:before="78" w:line="219" w:lineRule="auto"/>
        <w:rPr>
          <w:b/>
          <w:bCs/>
        </w:rPr>
      </w:pPr>
      <w:r>
        <w:rPr>
          <w:rFonts w:hint="eastAsia" w:eastAsia="宋体"/>
          <w:b/>
          <w:bCs/>
          <w:lang w:val="en-US" w:eastAsia="zh-CN"/>
        </w:rPr>
        <w:t>艺术墓4效果图：</w:t>
      </w:r>
    </w:p>
    <w:p w14:paraId="3A09C903">
      <w:pPr>
        <w:pStyle w:val="12"/>
        <w:spacing w:before="78" w:line="219" w:lineRule="auto"/>
        <w:rPr>
          <w:rFonts w:hint="default" w:eastAsia="宋体"/>
          <w:b/>
          <w:bCs/>
          <w:lang w:val="en-US" w:eastAsia="zh-CN"/>
        </w:rPr>
      </w:pPr>
      <w:r>
        <w:drawing>
          <wp:inline distT="0" distB="0" distL="114300" distR="114300">
            <wp:extent cx="5273675" cy="3667125"/>
            <wp:effectExtent l="0" t="0" r="14605" b="571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6"/>
                    <a:stretch>
                      <a:fillRect/>
                    </a:stretch>
                  </pic:blipFill>
                  <pic:spPr>
                    <a:xfrm>
                      <a:off x="0" y="0"/>
                      <a:ext cx="5273675" cy="3667125"/>
                    </a:xfrm>
                    <a:prstGeom prst="rect">
                      <a:avLst/>
                    </a:prstGeom>
                    <a:noFill/>
                    <a:ln>
                      <a:noFill/>
                    </a:ln>
                  </pic:spPr>
                </pic:pic>
              </a:graphicData>
            </a:graphic>
          </wp:inline>
        </w:drawing>
      </w:r>
    </w:p>
    <w:p w14:paraId="1AE7D86C">
      <w:pPr>
        <w:pStyle w:val="12"/>
        <w:spacing w:before="78" w:line="219" w:lineRule="auto"/>
        <w:rPr>
          <w:rStyle w:val="4"/>
          <w:rFonts w:hint="eastAsia" w:ascii="宋体" w:hAnsi="宋体" w:eastAsia="宋体" w:cs="宋体"/>
          <w:b/>
          <w:bCs/>
          <w:spacing w:val="-6"/>
          <w:sz w:val="24"/>
          <w:szCs w:val="24"/>
          <w:lang w:val="en-US" w:eastAsia="zh-CN"/>
        </w:rPr>
      </w:pPr>
      <w:r>
        <w:rPr>
          <w:rStyle w:val="4"/>
          <w:rFonts w:hint="eastAsia" w:ascii="宋体" w:hAnsi="宋体" w:eastAsia="宋体" w:cs="宋体"/>
          <w:b/>
          <w:bCs/>
          <w:spacing w:val="-6"/>
          <w:sz w:val="24"/>
          <w:szCs w:val="24"/>
          <w:lang w:val="en-US" w:eastAsia="zh-CN"/>
        </w:rPr>
        <w:t>艺术墓4图纸：</w:t>
      </w:r>
    </w:p>
    <w:p w14:paraId="22EA908B">
      <w:pPr>
        <w:pStyle w:val="12"/>
        <w:spacing w:before="78" w:line="219" w:lineRule="auto"/>
        <w:rPr>
          <w:rStyle w:val="4"/>
          <w:rFonts w:hint="eastAsia" w:ascii="宋体" w:hAnsi="宋体" w:eastAsia="宋体" w:cs="宋体"/>
          <w:b/>
          <w:bCs/>
          <w:spacing w:val="-6"/>
          <w:sz w:val="24"/>
          <w:szCs w:val="24"/>
          <w:lang w:val="en-US" w:eastAsia="zh-CN"/>
        </w:rPr>
      </w:pPr>
      <w:r>
        <w:drawing>
          <wp:inline distT="0" distB="0" distL="114300" distR="114300">
            <wp:extent cx="5264785" cy="3700780"/>
            <wp:effectExtent l="0" t="0" r="8255" b="254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7"/>
                    <a:stretch>
                      <a:fillRect/>
                    </a:stretch>
                  </pic:blipFill>
                  <pic:spPr>
                    <a:xfrm>
                      <a:off x="0" y="0"/>
                      <a:ext cx="5264785" cy="3700780"/>
                    </a:xfrm>
                    <a:prstGeom prst="rect">
                      <a:avLst/>
                    </a:prstGeom>
                    <a:noFill/>
                    <a:ln>
                      <a:noFill/>
                    </a:ln>
                  </pic:spPr>
                </pic:pic>
              </a:graphicData>
            </a:graphic>
          </wp:inline>
        </w:drawing>
      </w:r>
      <w:r>
        <w:drawing>
          <wp:inline distT="0" distB="0" distL="114300" distR="114300">
            <wp:extent cx="5273040" cy="3707765"/>
            <wp:effectExtent l="0" t="0" r="0" b="1079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8"/>
                    <a:stretch>
                      <a:fillRect/>
                    </a:stretch>
                  </pic:blipFill>
                  <pic:spPr>
                    <a:xfrm>
                      <a:off x="0" y="0"/>
                      <a:ext cx="5273040" cy="3707765"/>
                    </a:xfrm>
                    <a:prstGeom prst="rect">
                      <a:avLst/>
                    </a:prstGeom>
                    <a:noFill/>
                    <a:ln>
                      <a:noFill/>
                    </a:ln>
                  </pic:spPr>
                </pic:pic>
              </a:graphicData>
            </a:graphic>
          </wp:inline>
        </w:drawing>
      </w:r>
      <w:r>
        <w:drawing>
          <wp:inline distT="0" distB="0" distL="114300" distR="114300">
            <wp:extent cx="5270500" cy="3659505"/>
            <wp:effectExtent l="0" t="0" r="2540" b="1333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9"/>
                    <a:stretch>
                      <a:fillRect/>
                    </a:stretch>
                  </pic:blipFill>
                  <pic:spPr>
                    <a:xfrm>
                      <a:off x="0" y="0"/>
                      <a:ext cx="5270500" cy="3659505"/>
                    </a:xfrm>
                    <a:prstGeom prst="rect">
                      <a:avLst/>
                    </a:prstGeom>
                    <a:noFill/>
                    <a:ln>
                      <a:noFill/>
                    </a:ln>
                  </pic:spPr>
                </pic:pic>
              </a:graphicData>
            </a:graphic>
          </wp:inline>
        </w:drawing>
      </w:r>
    </w:p>
    <w:p w14:paraId="4EFA15CD">
      <w:pPr>
        <w:pStyle w:val="12"/>
        <w:spacing w:before="78" w:line="219" w:lineRule="auto"/>
        <w:rPr>
          <w:rStyle w:val="4"/>
          <w:rFonts w:hint="eastAsia" w:ascii="宋体" w:hAnsi="宋体" w:eastAsia="宋体" w:cs="宋体"/>
          <w:b/>
          <w:bCs/>
          <w:spacing w:val="-6"/>
          <w:sz w:val="24"/>
          <w:szCs w:val="24"/>
          <w:lang w:val="en-US" w:eastAsia="zh-CN"/>
        </w:rPr>
      </w:pPr>
    </w:p>
    <w:p w14:paraId="7125939B">
      <w:pPr>
        <w:pStyle w:val="12"/>
        <w:spacing w:before="78" w:line="219" w:lineRule="auto"/>
        <w:rPr>
          <w:rStyle w:val="4"/>
          <w:rFonts w:hint="eastAsia" w:ascii="宋体" w:hAnsi="宋体" w:eastAsia="宋体" w:cs="宋体"/>
          <w:b/>
          <w:bCs/>
          <w:spacing w:val="-6"/>
          <w:sz w:val="24"/>
          <w:szCs w:val="24"/>
          <w:lang w:val="en-US" w:eastAsia="zh-CN"/>
        </w:rPr>
      </w:pPr>
    </w:p>
    <w:p w14:paraId="19775F47">
      <w:pPr>
        <w:pStyle w:val="12"/>
        <w:spacing w:before="78" w:line="219" w:lineRule="auto"/>
        <w:ind w:firstLine="720"/>
        <w:rPr>
          <w:rStyle w:val="4"/>
          <w:rFonts w:ascii="宋体" w:hAnsi="宋体" w:eastAsia="宋体" w:cs="宋体"/>
          <w:spacing w:val="-6"/>
          <w:sz w:val="24"/>
          <w:szCs w:val="24"/>
        </w:rPr>
      </w:pPr>
    </w:p>
    <w:p w14:paraId="76AF5FDF">
      <w:pPr>
        <w:keepNext w:val="0"/>
        <w:keepLines w:val="0"/>
        <w:pageBreakBefore w:val="0"/>
        <w:widowControl w:val="0"/>
        <w:spacing w:line="360" w:lineRule="auto"/>
        <w:ind w:firstLine="482"/>
        <w:rPr>
          <w:rFonts w:hint="eastAsia" w:ascii="仿宋" w:hAnsi="仿宋" w:eastAsia="仿宋" w:cs="仿宋"/>
          <w:b/>
          <w:color w:val="auto"/>
          <w:sz w:val="24"/>
          <w:szCs w:val="24"/>
          <w:highlight w:val="none"/>
          <w:lang w:val="en-US" w:eastAsia="zh-CN"/>
        </w:rPr>
      </w:pPr>
    </w:p>
    <w:p w14:paraId="6B995EEF">
      <w:pPr>
        <w:keepNext w:val="0"/>
        <w:keepLines w:val="0"/>
        <w:pageBreakBefore w:val="0"/>
        <w:widowControl w:val="0"/>
        <w:spacing w:line="360" w:lineRule="auto"/>
        <w:ind w:firstLine="482"/>
        <w:rPr>
          <w:rFonts w:hint="eastAsia" w:ascii="仿宋" w:hAnsi="仿宋" w:eastAsia="仿宋" w:cs="仿宋"/>
          <w:b/>
          <w:color w:val="auto"/>
          <w:sz w:val="24"/>
          <w:szCs w:val="24"/>
          <w:highlight w:val="none"/>
          <w:lang w:val="en-US" w:eastAsia="zh-CN"/>
        </w:rPr>
      </w:pPr>
    </w:p>
    <w:p w14:paraId="1624B273">
      <w:pPr>
        <w:keepNext w:val="0"/>
        <w:keepLines w:val="0"/>
        <w:pageBreakBefore w:val="0"/>
        <w:widowControl w:val="0"/>
        <w:spacing w:line="360" w:lineRule="auto"/>
        <w:ind w:firstLine="482"/>
        <w:rPr>
          <w:rFonts w:hint="eastAsia" w:ascii="仿宋" w:hAnsi="仿宋" w:eastAsia="仿宋" w:cs="仿宋"/>
          <w:b/>
          <w:color w:val="auto"/>
          <w:sz w:val="24"/>
          <w:szCs w:val="24"/>
          <w:highlight w:val="none"/>
          <w:lang w:val="en-US" w:eastAsia="zh-CN"/>
        </w:rPr>
      </w:pPr>
    </w:p>
    <w:p w14:paraId="4A01E6C4">
      <w:pPr>
        <w:keepNext w:val="0"/>
        <w:keepLines w:val="0"/>
        <w:pageBreakBefore w:val="0"/>
        <w:widowControl w:val="0"/>
        <w:spacing w:line="360" w:lineRule="auto"/>
        <w:ind w:firstLine="48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（二）技术参数要求</w:t>
      </w:r>
    </w:p>
    <w:p w14:paraId="7BE8EA6A">
      <w:pPr>
        <w:pStyle w:val="13"/>
        <w:keepNext w:val="0"/>
        <w:keepLines w:val="0"/>
        <w:pageBreakBefore w:val="0"/>
        <w:spacing w:after="0" w:line="520" w:lineRule="exact"/>
        <w:rPr>
          <w:rFonts w:hint="eastAsia" w:ascii="仿宋" w:hAnsi="仿宋" w:eastAsia="仿宋" w:cs="仿宋"/>
          <w:b/>
          <w:bCs w:val="0"/>
          <w:color w:val="auto"/>
          <w:sz w:val="24"/>
          <w:szCs w:val="24"/>
          <w:highlight w:val="none"/>
          <w:lang w:eastAsia="zh-CN"/>
        </w:rPr>
      </w:pPr>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lang w:eastAsia="zh-CN"/>
        </w:rPr>
        <w:t>艺术墓墓区</w:t>
      </w:r>
    </w:p>
    <w:p w14:paraId="300D76E6">
      <w:pPr>
        <w:pStyle w:val="13"/>
        <w:keepNext w:val="0"/>
        <w:keepLines w:val="0"/>
        <w:pageBreakBefore w:val="0"/>
        <w:spacing w:after="0" w:line="520" w:lineRule="exact"/>
        <w:ind w:firstLine="48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1场地平整、地面原土打底夯实地面人工或机械挖土坑，余方归堆外运，（地点及费用由中标单位自行考虑）。</w:t>
      </w:r>
    </w:p>
    <w:p w14:paraId="59C822B1">
      <w:pPr>
        <w:pStyle w:val="13"/>
        <w:keepNext w:val="0"/>
        <w:keepLines w:val="0"/>
        <w:pageBreakBefore w:val="0"/>
        <w:spacing w:after="0" w:line="520" w:lineRule="exact"/>
        <w:ind w:firstLine="48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1.2</w:t>
      </w:r>
      <w:r>
        <w:rPr>
          <w:rFonts w:hint="eastAsia" w:ascii="仿宋" w:hAnsi="仿宋" w:eastAsia="仿宋" w:cs="仿宋"/>
          <w:b w:val="0"/>
          <w:bCs/>
          <w:color w:val="auto"/>
          <w:sz w:val="24"/>
          <w:szCs w:val="24"/>
          <w:highlight w:val="none"/>
          <w:lang w:eastAsia="zh-CN"/>
        </w:rPr>
        <w:t>基础浇筑制作厚度12cm，尺寸按模型设计，混凝土标号为C25混凝土。</w:t>
      </w:r>
    </w:p>
    <w:p w14:paraId="7E8CC83D">
      <w:pPr>
        <w:pStyle w:val="13"/>
        <w:keepNext w:val="0"/>
        <w:keepLines w:val="0"/>
        <w:pageBreakBefore w:val="0"/>
        <w:spacing w:after="0" w:line="520" w:lineRule="exact"/>
        <w:ind w:firstLine="48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1.3</w:t>
      </w:r>
      <w:r>
        <w:rPr>
          <w:rFonts w:hint="eastAsia" w:ascii="仿宋" w:hAnsi="仿宋" w:eastAsia="仿宋" w:cs="仿宋"/>
          <w:b w:val="0"/>
          <w:bCs/>
          <w:color w:val="auto"/>
          <w:sz w:val="24"/>
          <w:szCs w:val="24"/>
          <w:highlight w:val="none"/>
          <w:lang w:eastAsia="zh-CN"/>
        </w:rPr>
        <w:t>墓型为</w:t>
      </w:r>
      <w:r>
        <w:rPr>
          <w:rFonts w:hint="eastAsia" w:ascii="仿宋" w:hAnsi="仿宋" w:eastAsia="仿宋" w:cs="仿宋"/>
          <w:b w:val="0"/>
          <w:bCs/>
          <w:color w:val="auto"/>
          <w:sz w:val="24"/>
          <w:szCs w:val="24"/>
          <w:highlight w:val="none"/>
          <w:lang w:val="en-US" w:eastAsia="zh-CN"/>
        </w:rPr>
        <w:t>四</w:t>
      </w:r>
      <w:r>
        <w:rPr>
          <w:rFonts w:hint="eastAsia" w:ascii="仿宋" w:hAnsi="仿宋" w:eastAsia="仿宋" w:cs="仿宋"/>
          <w:b w:val="0"/>
          <w:bCs/>
          <w:color w:val="auto"/>
          <w:sz w:val="24"/>
          <w:szCs w:val="24"/>
          <w:highlight w:val="none"/>
          <w:lang w:eastAsia="zh-CN"/>
        </w:rPr>
        <w:t>款，占地尺寸：1000*800mm，双穴整石石棺，单穴内穴尺寸不低于340*290*300mm（H）石箱壁厚4cm，石箱底板4cm，石箱子口2cm，墓盖下方开槽。离地高度到石箱子口120mm，总高度980mm，基石为一块整体，主碑8</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lang w:eastAsia="zh-CN"/>
        </w:rPr>
        <w:t>0*</w:t>
      </w:r>
      <w:r>
        <w:rPr>
          <w:rFonts w:hint="eastAsia" w:ascii="仿宋" w:hAnsi="仿宋" w:eastAsia="仿宋" w:cs="仿宋"/>
          <w:b w:val="0"/>
          <w:bCs/>
          <w:color w:val="auto"/>
          <w:sz w:val="24"/>
          <w:szCs w:val="24"/>
          <w:highlight w:val="none"/>
          <w:lang w:val="en-US" w:eastAsia="zh-CN"/>
        </w:rPr>
        <w:t>68</w:t>
      </w:r>
      <w:r>
        <w:rPr>
          <w:rFonts w:hint="eastAsia" w:ascii="仿宋" w:hAnsi="仿宋" w:eastAsia="仿宋" w:cs="仿宋"/>
          <w:b w:val="0"/>
          <w:bCs/>
          <w:color w:val="auto"/>
          <w:sz w:val="24"/>
          <w:szCs w:val="24"/>
          <w:highlight w:val="none"/>
          <w:lang w:eastAsia="zh-CN"/>
        </w:rPr>
        <w:t>0mm</w:t>
      </w:r>
      <w:r>
        <w:rPr>
          <w:rFonts w:hint="eastAsia" w:ascii="仿宋" w:hAnsi="仿宋" w:eastAsia="仿宋" w:cs="仿宋"/>
          <w:b w:val="0"/>
          <w:bCs/>
          <w:color w:val="auto"/>
          <w:sz w:val="24"/>
          <w:szCs w:val="24"/>
          <w:highlight w:val="none"/>
          <w:lang w:val="en-US" w:eastAsia="zh-CN"/>
        </w:rPr>
        <w:t>+榫头（710</w:t>
      </w:r>
      <w:r>
        <w:rPr>
          <w:rFonts w:hint="eastAsia" w:ascii="仿宋" w:hAnsi="仿宋" w:eastAsia="仿宋" w:cs="仿宋"/>
          <w:b w:val="0"/>
          <w:bCs/>
          <w:color w:val="auto"/>
          <w:sz w:val="24"/>
          <w:szCs w:val="24"/>
          <w:highlight w:val="none"/>
          <w:lang w:eastAsia="zh-CN"/>
        </w:rPr>
        <w:t>mm</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eastAsia="zh-CN"/>
        </w:rPr>
        <w:t>。</w:t>
      </w:r>
    </w:p>
    <w:p w14:paraId="7641237E">
      <w:pPr>
        <w:shd w:val="clear" w:color="auto"/>
        <w:spacing w:line="360" w:lineRule="auto"/>
        <w:ind w:firstLine="48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 xml:space="preserve">《采购清单及技术参数要求》技术参数说明如下： </w:t>
      </w:r>
    </w:p>
    <w:p w14:paraId="0A18DA80">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1、《采购清单及技术参数要求》中货物名称前标注“●”的为核心产品，不同投标人核心产品标的品牌相同按同品牌投标人处理。</w:t>
      </w:r>
    </w:p>
    <w:p w14:paraId="0600C19B">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投标人须提供所投标的产品品牌、型号，须按照招标文件中投标文件格式要求填写完整。除辅助材料和设备（含以施工为主的条目、标明为定制的设备）之外的其它应该标明品牌和规格型号的设备，在投标文件中必须标明设备的品牌和规格型号，否则当作无效标处理。</w:t>
      </w:r>
    </w:p>
    <w:p w14:paraId="1F30D4F8">
      <w:pPr>
        <w:keepNext w:val="0"/>
        <w:keepLines w:val="0"/>
        <w:pageBreakBefore w:val="0"/>
        <w:widowControl w:val="0"/>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四、安全要求</w:t>
      </w:r>
    </w:p>
    <w:p w14:paraId="56412974">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项目安装过程中的安全问题由成交单位全权负责，与采购人无关。</w:t>
      </w:r>
    </w:p>
    <w:p w14:paraId="72606CC5">
      <w:pPr>
        <w:keepNext w:val="0"/>
        <w:keepLines w:val="0"/>
        <w:pageBreakBefore w:val="0"/>
        <w:widowControl w:val="0"/>
        <w:numPr>
          <w:ilvl w:val="0"/>
          <w:numId w:val="1"/>
        </w:numPr>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项目要求</w:t>
      </w:r>
    </w:p>
    <w:p w14:paraId="3625B32D">
      <w:pPr>
        <w:keepNext w:val="0"/>
        <w:keepLines w:val="0"/>
        <w:pageBreakBefore w:val="0"/>
        <w:widowControl w:val="0"/>
        <w:numPr>
          <w:ilvl w:val="0"/>
          <w:numId w:val="2"/>
        </w:numPr>
        <w:spacing w:line="520" w:lineRule="exact"/>
        <w:rPr>
          <w:rFonts w:hint="default" w:ascii="仿宋" w:hAnsi="仿宋" w:eastAsia="仿宋" w:cs="仿宋"/>
          <w:bCs/>
          <w:sz w:val="24"/>
          <w:szCs w:val="24"/>
          <w:lang w:val="en-US" w:eastAsia="zh-CN" w:bidi="ar-SA"/>
        </w:rPr>
      </w:pPr>
      <w:r>
        <w:rPr>
          <w:rFonts w:hint="eastAsia" w:ascii="仿宋" w:hAnsi="仿宋" w:eastAsia="仿宋" w:cs="仿宋"/>
          <w:bCs/>
          <w:sz w:val="24"/>
          <w:szCs w:val="24"/>
          <w:lang w:val="en-US" w:eastAsia="zh-CN" w:bidi="ar-SA"/>
        </w:rPr>
        <w:t>投标人应对工程现场和周围环境及甲方使用样品（A级花岗岩）进行必要的现场勘察，现场勘察费用由投标人自己承担。</w:t>
      </w:r>
    </w:p>
    <w:p w14:paraId="6EB51739">
      <w:pPr>
        <w:keepNext w:val="0"/>
        <w:keepLines w:val="0"/>
        <w:pageBreakBefore w:val="0"/>
        <w:widowControl w:val="0"/>
        <w:numPr>
          <w:ilvl w:val="0"/>
          <w:numId w:val="2"/>
        </w:numPr>
        <w:spacing w:line="520" w:lineRule="exact"/>
        <w:rPr>
          <w:rFonts w:hint="default" w:ascii="仿宋" w:hAnsi="仿宋" w:eastAsia="仿宋" w:cs="仿宋"/>
          <w:bCs/>
          <w:sz w:val="24"/>
          <w:szCs w:val="24"/>
          <w:lang w:val="en-US" w:eastAsia="zh-CN" w:bidi="ar-SA"/>
        </w:rPr>
      </w:pPr>
      <w:r>
        <w:rPr>
          <w:rFonts w:hint="eastAsia" w:ascii="仿宋" w:hAnsi="仿宋" w:eastAsia="仿宋" w:cs="仿宋"/>
          <w:bCs/>
          <w:sz w:val="24"/>
          <w:szCs w:val="24"/>
          <w:lang w:val="en-US" w:eastAsia="zh-CN" w:bidi="ar-SA"/>
        </w:rPr>
        <w:t>中标人需在10天内根据图纸及招标文件要求，加工出原尺寸的墓型样品以供甲方测评，若加工工艺和质量达不到招标文件规定的相关要求，则甲方有权与其终止签订合同。</w:t>
      </w:r>
    </w:p>
    <w:p w14:paraId="7D2D03CC">
      <w:pPr>
        <w:spacing w:line="520" w:lineRule="exact"/>
        <w:ind w:firstLine="12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免费维护期</w:t>
      </w:r>
      <w:r>
        <w:rPr>
          <w:rFonts w:hint="eastAsia" w:ascii="仿宋" w:hAnsi="仿宋" w:eastAsia="仿宋" w:cs="仿宋"/>
          <w:sz w:val="24"/>
          <w:szCs w:val="24"/>
        </w:rPr>
        <w:t>期限、绿化养护</w:t>
      </w:r>
    </w:p>
    <w:p w14:paraId="2539F031">
      <w:pPr>
        <w:spacing w:line="520" w:lineRule="exact"/>
        <w:ind w:firstLine="240"/>
        <w:rPr>
          <w:rFonts w:hint="eastAsia" w:ascii="仿宋" w:hAnsi="仿宋" w:eastAsia="仿宋" w:cs="仿宋"/>
          <w:bCs/>
          <w:sz w:val="24"/>
          <w:szCs w:val="24"/>
        </w:rPr>
      </w:pPr>
      <w:r>
        <w:rPr>
          <w:rFonts w:hint="eastAsia" w:ascii="仿宋" w:hAnsi="仿宋" w:eastAsia="仿宋" w:cs="仿宋"/>
          <w:bCs/>
          <w:sz w:val="24"/>
          <w:szCs w:val="24"/>
          <w:lang w:val="en-US" w:eastAsia="zh-CN"/>
        </w:rPr>
        <w:t>3.</w:t>
      </w:r>
      <w:r>
        <w:rPr>
          <w:rFonts w:hint="eastAsia" w:ascii="仿宋" w:hAnsi="仿宋" w:eastAsia="仿宋" w:cs="仿宋"/>
          <w:bCs/>
          <w:sz w:val="24"/>
          <w:szCs w:val="24"/>
        </w:rPr>
        <w:t>1所有墓材质保期为两年（如墓材发生与石材小样不符，墓材必须无条件更换，如不更换采购方有权停止付款）。</w:t>
      </w:r>
    </w:p>
    <w:p w14:paraId="01446FDA">
      <w:pPr>
        <w:spacing w:line="520" w:lineRule="exact"/>
        <w:ind w:firstLine="240"/>
        <w:rPr>
          <w:rFonts w:hint="eastAsia" w:ascii="仿宋" w:hAnsi="仿宋" w:eastAsia="仿宋" w:cs="仿宋"/>
          <w:bCs/>
          <w:sz w:val="24"/>
          <w:szCs w:val="24"/>
        </w:rPr>
      </w:pPr>
      <w:r>
        <w:rPr>
          <w:rFonts w:hint="eastAsia" w:ascii="仿宋" w:hAnsi="仿宋" w:eastAsia="仿宋" w:cs="仿宋"/>
          <w:bCs/>
          <w:sz w:val="24"/>
          <w:szCs w:val="24"/>
          <w:lang w:val="en-US" w:eastAsia="zh-CN"/>
        </w:rPr>
        <w:t>3.</w:t>
      </w:r>
      <w:r>
        <w:rPr>
          <w:rFonts w:hint="eastAsia" w:ascii="仿宋" w:hAnsi="仿宋" w:eastAsia="仿宋" w:cs="仿宋"/>
          <w:bCs/>
          <w:sz w:val="24"/>
          <w:szCs w:val="24"/>
        </w:rPr>
        <w:t>2绿化养护：绿化养护期2年，养护内容包含但不限于修剪、浇水、死苗更换等。</w:t>
      </w:r>
    </w:p>
    <w:p w14:paraId="194A6DFA">
      <w:pPr>
        <w:spacing w:line="520" w:lineRule="exact"/>
        <w:ind w:firstLine="240"/>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4、</w:t>
      </w:r>
      <w:r>
        <w:rPr>
          <w:rFonts w:hint="eastAsia" w:ascii="仿宋" w:hAnsi="仿宋" w:eastAsia="仿宋" w:cs="仿宋"/>
          <w:sz w:val="24"/>
          <w:szCs w:val="24"/>
        </w:rPr>
        <w:t>墓材进场后，采购人组织当地检测机构检测，中标人须按检测机构要求提供石材检测样品材料。</w:t>
      </w:r>
    </w:p>
    <w:p w14:paraId="645F9379">
      <w:pPr>
        <w:keepNext w:val="0"/>
        <w:keepLines w:val="0"/>
        <w:pageBreakBefore w:val="0"/>
        <w:widowControl w:val="0"/>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六、验收要求</w:t>
      </w:r>
    </w:p>
    <w:p w14:paraId="346CF0F4">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在发货前，乙方应对货物的质量、规格、性能、数量等进行准确而全面的检验，并出具一份证明货物符合合同规定的证书。该证书将作为提交付款单据的一部分，但有关质量、规格、性能、数量或重量的检验不应视为最终检验。检验的结果和细节应附在检验证书后面。</w:t>
      </w:r>
    </w:p>
    <w:p w14:paraId="4B90FB08">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2、货物交付后，在安装前应仔细检查货物自身无缺陷后方可安装，如果存在货物破损、自身材质、规格等质量缺陷，甲方有权要求将货物退场，由此引起的一切后果由乙方承担。</w:t>
      </w:r>
    </w:p>
    <w:p w14:paraId="7F0CE04A">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货物进场后乙方继续负责看管工作，如因看管不善所造成的一切损失均由乙方承担；设备进场后乙方应准备好相关初步验收资料，验收内容包括：产地、货号、规格、数量、外观质量、及设备是否完好。甲方应按签订采购合同约定时间组织验收，并出具书面初步验收报告。</w:t>
      </w:r>
    </w:p>
    <w:p w14:paraId="44563674">
      <w:pPr>
        <w:spacing w:line="520" w:lineRule="exact"/>
        <w:ind w:firstLine="480"/>
        <w:rPr>
          <w:rStyle w:val="4"/>
          <w:rFonts w:hint="eastAsia" w:ascii="宋体" w:hAnsi="宋体" w:eastAsia="宋体" w:cs="宋体"/>
          <w:sz w:val="24"/>
          <w:szCs w:val="22"/>
          <w:lang w:val="en-US" w:eastAsia="zh-CN"/>
        </w:rPr>
      </w:pPr>
      <w:r>
        <w:rPr>
          <w:rFonts w:hint="eastAsia" w:ascii="仿宋" w:hAnsi="仿宋" w:eastAsia="仿宋" w:cs="仿宋"/>
          <w:bCs/>
          <w:sz w:val="24"/>
          <w:szCs w:val="24"/>
          <w:lang w:val="en-US" w:eastAsia="zh-CN"/>
        </w:rPr>
        <w:t>4、采购人有权请检测机构相关专家和采购人单位代表在生产前随时到生产现场，查看所有制作材料的型号和进货清单等书面材料及原始凭证，中标供应商承担有可能产生的材料品牌检测费。</w:t>
      </w:r>
    </w:p>
    <w:p w14:paraId="13FA4D43">
      <w:pPr>
        <w:keepNext w:val="0"/>
        <w:keepLines w:val="0"/>
        <w:pageBreakBefore w:val="0"/>
        <w:widowControl w:val="0"/>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七、节能产品、环境标志产品要求</w:t>
      </w:r>
    </w:p>
    <w:p w14:paraId="508F737F">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对照财库〔2019〕9号、财库〔2019〕19号文件规定，供应商所投产品属于强制采购产品的，应提供国家市场监督管理局确定的列入“参与实施政府采购节能产品认证机构名录”内的认证机构出具的、有效期内的该产品的节能产品认证证书电子件，不满足以上要求的按无效标处理。</w:t>
      </w:r>
    </w:p>
    <w:p w14:paraId="4F004DDE">
      <w:pPr>
        <w:keepNext w:val="0"/>
        <w:keepLines w:val="0"/>
        <w:pageBreakBefore w:val="0"/>
        <w:widowControl w:val="0"/>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八、商品包装、快递包装政府采购需求标准</w:t>
      </w:r>
    </w:p>
    <w:p w14:paraId="0A51992D">
      <w:pPr>
        <w:spacing w:line="520" w:lineRule="exact"/>
        <w:ind w:firstLine="480"/>
        <w:rPr>
          <w:rFonts w:hint="eastAsia"/>
          <w:lang w:val="en-US"/>
        </w:rPr>
      </w:pPr>
      <w:r>
        <w:rPr>
          <w:rFonts w:hint="eastAsia" w:ascii="仿宋" w:hAnsi="仿宋" w:eastAsia="仿宋" w:cs="仿宋"/>
          <w:bCs/>
          <w:sz w:val="24"/>
          <w:szCs w:val="24"/>
          <w:lang w:val="en-US" w:eastAsia="zh-CN"/>
        </w:rPr>
        <w:t>供应商所投产品需进行商品包装和快递包装的，应不低于《关于印发〈商品包装政府采购需求标准（试行）〉、〈快递包装政府采购需求标准（试行）〉的通知》（财办库〔2020〕123号）文件规定的参考标准。在履约验收时按照本条款执行，违反本约定的对照合同违约条款追究违约责任。供应商一旦参与本项目投标，即完全响应本条款要求。</w:t>
      </w:r>
    </w:p>
    <w:p w14:paraId="22104A83">
      <w:pPr>
        <w:keepNext w:val="0"/>
        <w:keepLines w:val="0"/>
        <w:pageBreakBefore w:val="0"/>
        <w:widowControl w:val="0"/>
        <w:numPr>
          <w:ilvl w:val="0"/>
          <w:numId w:val="0"/>
        </w:numPr>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九、质量保证要求</w:t>
      </w:r>
    </w:p>
    <w:p w14:paraId="00186F9C">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投标人针对本项目提供详细的质量保证方案，内容包括但不限于：</w:t>
      </w:r>
    </w:p>
    <w:p w14:paraId="1149E7B5">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1、详细的产品生产质量管理计划，计划应包含生产车间安全管理、质量控制措施、出厂检验标准以及测试程序等。</w:t>
      </w:r>
    </w:p>
    <w:p w14:paraId="3AFCEE23">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2、在制造过程中，制造商应严格遵循相关的技术规范和工艺流程，确保每个制造环节都符合质量控制要求。严格的质量控制：对每个生产环节进行质量检查和控制，确保每个环节都符合质量标准等。</w:t>
      </w:r>
    </w:p>
    <w:p w14:paraId="22502612">
      <w:pPr>
        <w:keepNext w:val="0"/>
        <w:keepLines w:val="0"/>
        <w:pageBreakBefore w:val="0"/>
        <w:widowControl w:val="0"/>
        <w:numPr>
          <w:ilvl w:val="0"/>
          <w:numId w:val="0"/>
        </w:numPr>
        <w:spacing w:line="520" w:lineRule="exact"/>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十、工期管理要求</w:t>
      </w:r>
    </w:p>
    <w:p w14:paraId="4724BF80">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投标人针对本项目提供详细工期管理方案，有明确的时间节点和进度安排，展示项目各阶段的起止时间、关键过程等，内容包括但不限于：</w:t>
      </w:r>
    </w:p>
    <w:p w14:paraId="46B47E8F">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实际需求，确定本项目采购产品的数量、设定时间节点，如项目启动日期、预计生产日期、出厂日期、交货日期、安装及调试时间规划、试运行时间安排、使用图或表等工具，实时跟踪项目进度，确保各阶段按计划进行等。同时投标人应提前考虑并做好风险预防、应对措施，以确保按期、保质保量的将本项目采购的所有产品在采购人要求的供货时间内送至采购人指定地点等。</w:t>
      </w:r>
    </w:p>
    <w:p w14:paraId="60B03D95">
      <w:pPr>
        <w:keepNext w:val="0"/>
        <w:keepLines w:val="0"/>
        <w:pageBreakBefore w:val="0"/>
        <w:widowControl w:val="0"/>
        <w:numPr>
          <w:ilvl w:val="0"/>
          <w:numId w:val="0"/>
        </w:numPr>
        <w:spacing w:line="520" w:lineRule="exact"/>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十一、文明施工及环境保护措施要求</w:t>
      </w:r>
    </w:p>
    <w:p w14:paraId="289D179E">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投标人针对本项目提供详细的文明施工及环境保护措施方案，包括但不限于：</w:t>
      </w:r>
    </w:p>
    <w:p w14:paraId="60843F87">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文明施工措施方案：文明施工责任制、文明施工教育、安全文明生产管理组织机构及职责、安全文明生产管理制度、安全风险分析与防控措施、文明施工现场安全防护措施、施工机械与设备安全管理等。</w:t>
      </w:r>
    </w:p>
    <w:p w14:paraId="7F653AD9">
      <w:pPr>
        <w:spacing w:line="520" w:lineRule="exact"/>
        <w:ind w:firstLine="480"/>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t>环境保护措施方案</w:t>
      </w:r>
      <w:r>
        <w:rPr>
          <w:rFonts w:hint="eastAsia" w:ascii="仿宋" w:hAnsi="仿宋" w:eastAsia="仿宋" w:cs="仿宋"/>
          <w:bCs/>
          <w:sz w:val="24"/>
          <w:szCs w:val="24"/>
          <w:lang w:val="en-US" w:eastAsia="zh-CN"/>
        </w:rPr>
        <w:t>：噪音控制措施、扬尘控制措施、废水处理措施、固体废弃物处理措施、生态资源保护措施等。</w:t>
      </w:r>
    </w:p>
    <w:p w14:paraId="79D13F07">
      <w:pPr>
        <w:keepNext w:val="0"/>
        <w:keepLines w:val="0"/>
        <w:pageBreakBefore w:val="0"/>
        <w:widowControl w:val="0"/>
        <w:numPr>
          <w:ilvl w:val="0"/>
          <w:numId w:val="0"/>
        </w:numPr>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十二、突发应急事件处置要求</w:t>
      </w:r>
    </w:p>
    <w:p w14:paraId="594510F6">
      <w:pPr>
        <w:shd w:val="clear" w:color="auto"/>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投标人针对本项目提供详细的突发应急事件处置方案，包括但不限于：</w:t>
      </w:r>
    </w:p>
    <w:p w14:paraId="76F8241D">
      <w:pPr>
        <w:numPr>
          <w:ilvl w:val="0"/>
          <w:numId w:val="0"/>
        </w:numPr>
        <w:shd w:val="clear" w:color="auto"/>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突发事件应急处理指挥部的组成和相关部门的职责；</w:t>
      </w:r>
    </w:p>
    <w:p w14:paraId="1013C9F3">
      <w:pPr>
        <w:shd w:val="clear" w:color="auto"/>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突发事件的监测与预警；突发事件信息的收集、分析、报告、通报制度；</w:t>
      </w:r>
    </w:p>
    <w:p w14:paraId="7E5E23D0">
      <w:pPr>
        <w:shd w:val="clear" w:color="auto"/>
        <w:spacing w:line="360" w:lineRule="auto"/>
        <w:ind w:left="47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突发事件应急处理技术和监测机构及其任务；</w:t>
      </w:r>
    </w:p>
    <w:p w14:paraId="7DF9E1E3">
      <w:pPr>
        <w:shd w:val="clear" w:color="auto"/>
        <w:spacing w:line="360" w:lineRule="auto"/>
        <w:ind w:left="479"/>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突发事件的分级和应急处理工作方案。</w:t>
      </w:r>
    </w:p>
    <w:p w14:paraId="56DAF18A">
      <w:pPr>
        <w:keepNext w:val="0"/>
        <w:keepLines w:val="0"/>
        <w:pageBreakBefore w:val="0"/>
        <w:widowControl w:val="0"/>
        <w:spacing w:line="520" w:lineRule="exact"/>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十三、售后服务要求</w:t>
      </w:r>
    </w:p>
    <w:p w14:paraId="56C68E3B">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1、所投产品免费保修期不少于二年。</w:t>
      </w:r>
    </w:p>
    <w:p w14:paraId="3EE7BCB6">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2、供应商须配备技术人员，服务电话，负责解答用户在设备使用中遇到的问题，及时提出解决问题的建议和操作方法，并能够及时派出技术人员，现场提供临时性应急保障及维修需求。</w:t>
      </w:r>
    </w:p>
    <w:p w14:paraId="54714E8A">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3、售后服务响应时间：中标供应商应提供7X24小时服务，接到临时性应急保障及故障报修电话后30分钟内电话响应，电话解决不了的，选派经验丰富的工作人员12小时内到现场进行保障、维修。</w:t>
      </w:r>
    </w:p>
    <w:p w14:paraId="6A1642E9">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服务保证：自验收单上签字之日起计算,在规定的质保期内，对提供的产品进行维修，不收取任何额外费用，各种设备经两次维修后仍不能正常使用，应更换同品牌、同型号设备。自更换之日起重新计算质量保证期限。</w:t>
      </w:r>
    </w:p>
    <w:p w14:paraId="32BEBE22">
      <w:pPr>
        <w:spacing w:line="520" w:lineRule="exact"/>
        <w:ind w:firstLine="480"/>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5、项目实施及售后服务要求：中标供应商需编制维保方案提供本次采购的货物保修期内的合理、科学的维护和后续其他维护服务方案，质保期满后，相关备品备件承诺不得高于市场价。</w:t>
      </w:r>
    </w:p>
    <w:p w14:paraId="7279D6AC">
      <w:pPr>
        <w:keepNext w:val="0"/>
        <w:keepLines w:val="0"/>
        <w:pageBreakBefore w:val="0"/>
        <w:widowControl w:val="0"/>
        <w:spacing w:line="520" w:lineRule="exac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十四、其他要求</w:t>
      </w:r>
    </w:p>
    <w:p w14:paraId="7BD19954">
      <w:pPr>
        <w:pStyle w:val="14"/>
        <w:spacing w:line="500" w:lineRule="exact"/>
        <w:ind w:firstLine="480"/>
        <w:rPr>
          <w:rFonts w:hint="eastAsia" w:ascii="仿宋" w:hAnsi="仿宋" w:eastAsia="仿宋" w:cs="仿宋"/>
          <w:bCs/>
          <w:sz w:val="24"/>
          <w:szCs w:val="24"/>
          <w:lang w:val="en-US" w:eastAsia="zh-CN" w:bidi="ar-SA"/>
        </w:rPr>
      </w:pPr>
      <w:r>
        <w:rPr>
          <w:rFonts w:hint="eastAsia" w:ascii="仿宋" w:hAnsi="仿宋" w:eastAsia="仿宋" w:cs="仿宋"/>
          <w:bCs/>
          <w:sz w:val="24"/>
          <w:szCs w:val="24"/>
          <w:lang w:val="en-US" w:eastAsia="zh-CN" w:bidi="ar-SA"/>
        </w:rPr>
        <w:t>1、报价内容包括: 货物本身价格、配件、辅材、运输、装卸、人工、产品损耗、检验、安装、售后服务、税费及产品交付使用过程中涉及到的其他一切费用。</w:t>
      </w:r>
    </w:p>
    <w:p w14:paraId="4B9D5E9F">
      <w:pPr>
        <w:pStyle w:val="14"/>
        <w:spacing w:line="500" w:lineRule="exact"/>
        <w:ind w:firstLine="480"/>
        <w:rPr>
          <w:rFonts w:hint="eastAsia" w:ascii="仿宋" w:hAnsi="仿宋" w:eastAsia="仿宋" w:cs="仿宋"/>
          <w:bCs/>
          <w:sz w:val="24"/>
          <w:szCs w:val="24"/>
          <w:lang w:val="en-US" w:eastAsia="zh-CN" w:bidi="ar-SA"/>
        </w:rPr>
      </w:pPr>
      <w:r>
        <w:rPr>
          <w:rFonts w:hint="eastAsia" w:ascii="仿宋" w:hAnsi="仿宋" w:eastAsia="仿宋" w:cs="仿宋"/>
          <w:bCs/>
          <w:sz w:val="24"/>
          <w:szCs w:val="24"/>
          <w:lang w:val="en-US" w:eastAsia="zh-CN" w:bidi="ar-SA"/>
        </w:rPr>
        <w:t>2、供应商报价时应充分考虑所有可能影响到报价的因素，一旦磋商结束最终成交，总价将包定，不予调整。如发生漏、缺、少项，都将被认为是成交供应商的报价让利行为，损失自付。</w:t>
      </w:r>
    </w:p>
    <w:p w14:paraId="77C5BA3D">
      <w:r>
        <w:rPr>
          <w:rFonts w:hint="eastAsia" w:ascii="仿宋" w:hAnsi="仿宋" w:eastAsia="仿宋" w:cs="仿宋"/>
          <w:bCs/>
          <w:sz w:val="24"/>
          <w:szCs w:val="24"/>
          <w:lang w:val="en-US" w:eastAsia="zh-CN" w:bidi="ar-SA"/>
        </w:rPr>
        <w:t>3、供应商报价时须考虑可能发生工程延期的风险，若工程延期，须承担延期部分的监理费等一切相关费用。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60101010101"/>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1931D5"/>
    <w:multiLevelType w:val="multilevel"/>
    <w:tmpl w:val="DB1931D5"/>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E2738677"/>
    <w:multiLevelType w:val="multilevel"/>
    <w:tmpl w:val="E2738677"/>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D40EA9"/>
    <w:rsid w:val="175C045F"/>
    <w:rsid w:val="73D40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1"/>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
    <w:name w:val="纯文本1"/>
    <w:basedOn w:val="1"/>
    <w:qFormat/>
    <w:uiPriority w:val="0"/>
    <w:rPr>
      <w:rFonts w:ascii="宋体" w:hAnsi="Courier New" w:cs="Courier New"/>
    </w:rPr>
  </w:style>
  <w:style w:type="paragraph" w:customStyle="1" w:styleId="6">
    <w:name w:val="正文_16"/>
    <w:next w:val="7"/>
    <w:qFormat/>
    <w:uiPriority w:val="0"/>
    <w:pPr>
      <w:widowControl w:val="0"/>
      <w:jc w:val="both"/>
    </w:pPr>
    <w:rPr>
      <w:rFonts w:hint="default" w:ascii="Calibri" w:hAnsi="Calibri" w:eastAsia="宋体" w:cs="Times New Roman"/>
      <w:sz w:val="21"/>
      <w:szCs w:val="24"/>
      <w:lang w:val="en-US" w:eastAsia="zh-CN" w:bidi="ar-SA"/>
    </w:rPr>
  </w:style>
  <w:style w:type="paragraph" w:customStyle="1" w:styleId="7">
    <w:name w:val="正文文本 2_0"/>
    <w:basedOn w:val="6"/>
    <w:qFormat/>
    <w:uiPriority w:val="0"/>
    <w:rPr>
      <w:rFonts w:ascii="仿宋_GB2312" w:eastAsia="仿宋_GB2312"/>
      <w:sz w:val="28"/>
    </w:rPr>
  </w:style>
  <w:style w:type="paragraph" w:customStyle="1" w:styleId="8">
    <w:name w:val="正文_2"/>
    <w:qFormat/>
    <w:uiPriority w:val="0"/>
    <w:pPr>
      <w:widowControl w:val="0"/>
      <w:jc w:val="both"/>
    </w:pPr>
    <w:rPr>
      <w:rFonts w:hint="default" w:ascii="Calibri" w:hAnsi="Calibri" w:eastAsia="宋体" w:cs="Times New Roman"/>
      <w:sz w:val="21"/>
      <w:szCs w:val="22"/>
      <w:lang w:val="en-US" w:eastAsia="zh-CN" w:bidi="ar-SA"/>
    </w:rPr>
  </w:style>
  <w:style w:type="paragraph" w:customStyle="1" w:styleId="9">
    <w:name w:val="正文_3_0"/>
    <w:next w:val="10"/>
    <w:qFormat/>
    <w:uiPriority w:val="0"/>
    <w:pPr>
      <w:widowControl w:val="0"/>
      <w:jc w:val="both"/>
    </w:pPr>
    <w:rPr>
      <w:rFonts w:hint="default" w:ascii="Calibri" w:hAnsi="Calibri" w:eastAsia="宋体" w:cs="Times New Roman"/>
      <w:sz w:val="21"/>
      <w:szCs w:val="24"/>
      <w:lang w:val="en-US" w:eastAsia="zh-CN" w:bidi="ar-SA"/>
    </w:rPr>
  </w:style>
  <w:style w:type="paragraph" w:customStyle="1" w:styleId="10">
    <w:name w:val="正文文本缩进_0"/>
    <w:basedOn w:val="9"/>
    <w:qFormat/>
    <w:uiPriority w:val="99"/>
    <w:pPr>
      <w:ind w:firstLine="225"/>
    </w:pPr>
    <w:rPr>
      <w:rFonts w:ascii="仿宋_GB2312" w:eastAsia="仿宋_GB2312"/>
      <w:sz w:val="32"/>
    </w:rPr>
  </w:style>
  <w:style w:type="paragraph" w:customStyle="1" w:styleId="11">
    <w:name w:val="标题二、"/>
    <w:basedOn w:val="1"/>
    <w:qFormat/>
    <w:uiPriority w:val="99"/>
    <w:pPr>
      <w:spacing w:line="360" w:lineRule="auto"/>
      <w:ind w:firstLine="200"/>
      <w:outlineLvl w:val="2"/>
    </w:pPr>
    <w:rPr>
      <w:rFonts w:ascii="宋体" w:hAnsi="宋体"/>
      <w:b/>
      <w:szCs w:val="21"/>
    </w:rPr>
  </w:style>
  <w:style w:type="paragraph" w:customStyle="1" w:styleId="12">
    <w:name w:val="正文_18"/>
    <w:qFormat/>
    <w:uiPriority w:val="0"/>
    <w:pPr>
      <w:widowControl w:val="0"/>
      <w:jc w:val="both"/>
    </w:pPr>
    <w:rPr>
      <w:rFonts w:hint="default" w:ascii="Times New Roman" w:hAnsi="Times New Roman" w:eastAsia="Times New Roman" w:cs="Times New Roman"/>
      <w:sz w:val="24"/>
      <w:szCs w:val="24"/>
    </w:rPr>
  </w:style>
  <w:style w:type="paragraph" w:customStyle="1" w:styleId="13">
    <w:name w:val=" Char Char Char Char Char Char Char Char Char Char Char Char Char"/>
    <w:basedOn w:val="1"/>
    <w:qFormat/>
    <w:uiPriority w:val="0"/>
    <w:pPr>
      <w:widowControl/>
      <w:spacing w:after="160" w:line="240" w:lineRule="exact"/>
      <w:jc w:val="left"/>
    </w:pPr>
    <w:rPr>
      <w:rFonts w:ascii="Arial" w:hAnsi="Arial" w:eastAsia="Times New Roman" w:cs="Verdana"/>
      <w:b/>
      <w:sz w:val="24"/>
      <w:szCs w:val="32"/>
      <w:lang w:eastAsia="en-US" w:bidi="ar-SA"/>
    </w:rPr>
  </w:style>
  <w:style w:type="paragraph" w:customStyle="1" w:styleId="14">
    <w:name w:val="普通(网站)1"/>
    <w:basedOn w:val="1"/>
    <w:qFormat/>
    <w:uiPriority w:val="99"/>
    <w:pPr>
      <w:widowControl/>
      <w:spacing w:before="100" w:beforeAutospacing="1" w:after="100" w:afterAutospacing="1"/>
      <w:jc w:val="left"/>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6</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2025-07-29T07:03:00Z</dcterms:created>
  <dc:creator>苏世</dc:creator>
  <cp:lastModifiedBy>苏世</cp:lastModifiedBy>
  <dcterms:modified xsi:type="dcterms:W3CDTF">2025-07-29T07:10:09Z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F63BACDB7FD94359BF721141DE98B1B1_11</vt:lpwstr>
  </property>
  <property fmtid="{D5CDD505-2E9C-101B-9397-08002B2CF9AE}" pid="4" name="KSOTemplateDocerSaveRecord">
    <vt:lpwstr>eyJoZGlkIjoiZmI5NTc3NWQxMmNkODAyOGNkYjNlMzYzODYyODFkNmUiLCJ1c2VySWQiOiI2MDc1MDQ4MTkifQ==</vt:lpwstr>
  </property>
</Properties>
</file>